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0.png" ContentType="image/png"/>
  <Override PartName="/word/media/rId112.png" ContentType="image/png"/>
  <Override PartName="/word/media/rId21.png" ContentType="image/png"/>
  <Override PartName="/word/media/rId40.png" ContentType="image/png"/>
  <Override PartName="/word/media/rId76.png" ContentType="image/png"/>
  <Override PartName="/word/media/rId81.png" ContentType="image/png"/>
  <Override PartName="/word/media/rId71.png" ContentType="image/png"/>
  <Override PartName="/word/media/rId66.png" ContentType="image/png"/>
  <Override PartName="/word/media/rId87.png" ContentType="image/png"/>
  <Override PartName="/word/media/rId117.png" ContentType="image/png"/>
  <Override PartName="/word/media/rId27.png" ContentType="image/png"/>
  <Override PartName="/word/media/rId99.png" ContentType="image/png"/>
  <Override PartName="/word/media/rId45.png" ContentType="image/png"/>
  <Override PartName="/word/media/rId32.png" ContentType="image/png"/>
  <Override PartName="/word/media/rId105.png" ContentType="image/png"/>
  <Override PartName="/word/media/rId9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Draft</w:t>
      </w:r>
      <w:r>
        <w:t xml:space="preserve"> </w:t>
      </w:r>
      <w:r>
        <w:t xml:space="preserve">–</w:t>
      </w:r>
      <w:r>
        <w:t xml:space="preserve"> </w:t>
      </w: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European</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 </w:t>
      </w:r>
      <w:r>
        <w:t xml:space="preserve">resolution</w:t>
      </w:r>
      <w:r>
        <w:t xml:space="preserve"> </w:t>
      </w:r>
      <w:r>
        <w:t xml:space="preserve">multispectral</w:t>
      </w:r>
      <w:r>
        <w:t xml:space="preserve"> </w:t>
      </w:r>
      <w:r>
        <w:t xml:space="preserve">drone</w:t>
      </w:r>
      <w:r>
        <w:t xml:space="preserve"> </w:t>
      </w:r>
      <w:r>
        <w:t xml:space="preserve">imagery</w:t>
      </w:r>
      <w:r>
        <w:t xml:space="preserve"> </w:t>
      </w:r>
      <w:r>
        <w:t xml:space="preserve">–</w:t>
      </w:r>
      <w:r>
        <w:t xml:space="preserve"> </w:t>
      </w:r>
      <w:r>
        <w:t xml:space="preserve">Draft</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Ana</w:t>
      </w:r>
      <w:r>
        <w:t xml:space="preserve"> </w:t>
      </w:r>
      <w:r>
        <w:t xml:space="preserve">I.</w:t>
      </w:r>
      <w:r>
        <w:t xml:space="preserve"> </w:t>
      </w:r>
      <w:r>
        <w:t xml:space="preserve">Sousa</w:t>
      </w:r>
    </w:p>
    <w:p>
      <w:pPr>
        <w:pStyle w:val="Author"/>
      </w:pPr>
      <w:r>
        <w:t xml:space="preserve">Philippe</w:t>
      </w:r>
      <w:r>
        <w:t xml:space="preserve"> </w:t>
      </w:r>
      <w:r>
        <w:t xml:space="preserve">Rosa</w:t>
      </w:r>
    </w:p>
    <w:p>
      <w:pPr>
        <w:pStyle w:val="Author"/>
      </w:pPr>
      <w:r>
        <w:t xml:space="preserve">Maria</w:t>
      </w:r>
      <w:r>
        <w:t xml:space="preserve"> </w:t>
      </w:r>
      <w:r>
        <w:t xml:space="preserve">Laura</w:t>
      </w:r>
      <w:r>
        <w:t xml:space="preserve"> </w:t>
      </w:r>
      <w:r>
        <w:t xml:space="preserve">Zoffoli</w:t>
      </w:r>
    </w:p>
    <w:p>
      <w:pPr>
        <w:pStyle w:val="Author"/>
      </w:pPr>
      <w:r>
        <w:t xml:space="preserve">Guillaume</w:t>
      </w:r>
      <w:r>
        <w:t xml:space="preserve"> </w:t>
      </w:r>
      <w:r>
        <w:t xml:space="preserve">Brunier</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2024-09-27</w:t>
      </w:r>
    </w:p>
    <w:p>
      <w:pPr>
        <w:pStyle w:val="AbstractTitle"/>
      </w:pPr>
      <w:r>
        <w:t xml:space="preserve">Abstract</w:t>
      </w:r>
    </w:p>
    <w:p>
      <w:pPr>
        <w:pStyle w:val="Abstract"/>
      </w:pPr>
      <w:r>
        <w:t xml:space="preserve">Coastal</w:t>
      </w:r>
      <w:r>
        <w:t xml:space="preserve"> </w:t>
      </w:r>
      <w:r>
        <w:t xml:space="preserve">areas</w:t>
      </w:r>
      <w:r>
        <w:t xml:space="preserve"> </w:t>
      </w:r>
      <w:r>
        <w:t xml:space="preserve">support</w:t>
      </w:r>
      <w:r>
        <w:t xml:space="preserve"> </w:t>
      </w:r>
      <w:r>
        <w:t xml:space="preserve">seagrass</w:t>
      </w:r>
      <w:r>
        <w:t xml:space="preserve"> </w:t>
      </w:r>
      <w:r>
        <w:t xml:space="preserve">meadows,</w:t>
      </w:r>
      <w:r>
        <w:t xml:space="preserve"> </w:t>
      </w:r>
      <w:r>
        <w:t xml:space="preserve">which</w:t>
      </w:r>
      <w:r>
        <w:t xml:space="preserve"> </w:t>
      </w:r>
      <w:r>
        <w:t xml:space="preserve">offer</w:t>
      </w:r>
      <w:r>
        <w:t xml:space="preserve"> </w:t>
      </w:r>
      <w:r>
        <w:t xml:space="preserve">crucial</w:t>
      </w:r>
      <w:r>
        <w:t xml:space="preserve"> </w:t>
      </w:r>
      <w:r>
        <w:t xml:space="preserve">ecosystem</w:t>
      </w:r>
      <w:r>
        <w:t xml:space="preserve"> </w:t>
      </w:r>
      <w:r>
        <w:t xml:space="preserve">services</w:t>
      </w:r>
      <w:r>
        <w:t xml:space="preserve"> </w:t>
      </w:r>
      <w:r>
        <w:t xml:space="preserve">including</w:t>
      </w:r>
      <w:r>
        <w:t xml:space="preserve"> </w:t>
      </w:r>
      <w:r>
        <w:t xml:space="preserve">erosion</w:t>
      </w:r>
      <w:r>
        <w:t xml:space="preserve"> </w:t>
      </w:r>
      <w:r>
        <w:t xml:space="preserve">control</w:t>
      </w:r>
      <w:r>
        <w:t xml:space="preserve"> </w:t>
      </w:r>
      <w:r>
        <w:t xml:space="preserve">and</w:t>
      </w:r>
      <w:r>
        <w:t xml:space="preserve"> </w:t>
      </w:r>
      <w:r>
        <w:t xml:space="preserve">carbon</w:t>
      </w:r>
      <w:r>
        <w:t xml:space="preserve"> </w:t>
      </w:r>
      <w:r>
        <w:t xml:space="preserve">sequestration.</w:t>
      </w:r>
      <w:r>
        <w:t xml:space="preserve"> </w:t>
      </w:r>
      <w:r>
        <w:t xml:space="preserve">However,</w:t>
      </w:r>
      <w:r>
        <w:t xml:space="preserve"> </w:t>
      </w:r>
      <w:r>
        <w:t xml:space="preserve">these</w:t>
      </w:r>
      <w:r>
        <w:t xml:space="preserve"> </w:t>
      </w:r>
      <w:r>
        <w:t xml:space="preserve">areas</w:t>
      </w:r>
      <w:r>
        <w:t xml:space="preserve"> </w:t>
      </w:r>
      <w:r>
        <w:t xml:space="preserve">are</w:t>
      </w:r>
      <w:r>
        <w:t xml:space="preserve"> </w:t>
      </w:r>
      <w:r>
        <w:t xml:space="preserve">increasingly</w:t>
      </w:r>
      <w:r>
        <w:t xml:space="preserve"> </w:t>
      </w:r>
      <w:r>
        <w:t xml:space="preserve">impacted</w:t>
      </w:r>
      <w:r>
        <w:t xml:space="preserve"> </w:t>
      </w:r>
      <w:r>
        <w:t xml:space="preserve">by</w:t>
      </w:r>
      <w:r>
        <w:t xml:space="preserve"> </w:t>
      </w:r>
      <w:r>
        <w:t xml:space="preserve">human</w:t>
      </w:r>
      <w:r>
        <w:t xml:space="preserve"> </w:t>
      </w:r>
      <w:r>
        <w:t xml:space="preserve">activities,</w:t>
      </w:r>
      <w:r>
        <w:t xml:space="preserve"> </w:t>
      </w:r>
      <w:r>
        <w:t xml:space="preserve">leading</w:t>
      </w:r>
      <w:r>
        <w:t xml:space="preserve"> </w:t>
      </w:r>
      <w:r>
        <w:t xml:space="preserve">to</w:t>
      </w:r>
      <w:r>
        <w:t xml:space="preserve"> </w:t>
      </w:r>
      <w:r>
        <w:t xml:space="preserve">habitat</w:t>
      </w:r>
      <w:r>
        <w:t xml:space="preserve"> </w:t>
      </w:r>
      <w:r>
        <w:t xml:space="preserve">fragmentation</w:t>
      </w:r>
      <w:r>
        <w:t xml:space="preserve"> </w:t>
      </w:r>
      <w:r>
        <w:t xml:space="preserve">and</w:t>
      </w:r>
      <w:r>
        <w:t xml:space="preserve"> </w:t>
      </w:r>
      <w:r>
        <w:t xml:space="preserve">seagrass</w:t>
      </w:r>
      <w:r>
        <w:t xml:space="preserve"> </w:t>
      </w:r>
      <w:r>
        <w:t xml:space="preserve">decline.</w:t>
      </w:r>
      <w:r>
        <w:t xml:space="preserve"> </w:t>
      </w:r>
      <w:r>
        <w:t xml:space="preserve">In</w:t>
      </w:r>
      <w:r>
        <w:t xml:space="preserve"> </w:t>
      </w:r>
      <w:r>
        <w:t xml:space="preserve">situ</w:t>
      </w:r>
      <w:r>
        <w:t xml:space="preserve"> </w:t>
      </w:r>
      <w:r>
        <w:t xml:space="preserve">surveys,</w:t>
      </w:r>
      <w:r>
        <w:t xml:space="preserve"> </w:t>
      </w:r>
      <w:r>
        <w:t xml:space="preserve">traditionally</w:t>
      </w:r>
      <w:r>
        <w:t xml:space="preserve"> </w:t>
      </w:r>
      <w:r>
        <w:t xml:space="preserve">performed</w:t>
      </w:r>
      <w:r>
        <w:t xml:space="preserve"> </w:t>
      </w:r>
      <w:r>
        <w:t xml:space="preserve">to</w:t>
      </w:r>
      <w:r>
        <w:t xml:space="preserve"> </w:t>
      </w:r>
      <w:r>
        <w:t xml:space="preserve">monitor</w:t>
      </w:r>
      <w:r>
        <w:t xml:space="preserve"> </w:t>
      </w:r>
      <w:r>
        <w:t xml:space="preserve">these</w:t>
      </w:r>
      <w:r>
        <w:t xml:space="preserve"> </w:t>
      </w:r>
      <w:r>
        <w:t xml:space="preserve">ecosystems</w:t>
      </w:r>
      <w:r>
        <w:t xml:space="preserve"> </w:t>
      </w:r>
      <w:r>
        <w:t xml:space="preserve">face</w:t>
      </w:r>
      <w:r>
        <w:t xml:space="preserve"> </w:t>
      </w:r>
      <w:r>
        <w:t xml:space="preserve">limitations</w:t>
      </w:r>
      <w:r>
        <w:t xml:space="preserve"> </w:t>
      </w:r>
      <w:r>
        <w:t xml:space="preserve">on</w:t>
      </w:r>
      <w:r>
        <w:t xml:space="preserve"> </w:t>
      </w:r>
      <w:r>
        <w:t xml:space="preserve">temporal</w:t>
      </w:r>
      <w:r>
        <w:t xml:space="preserve"> </w:t>
      </w:r>
      <w:r>
        <w:t xml:space="preserve">and</w:t>
      </w:r>
      <w:r>
        <w:t xml:space="preserve"> </w:t>
      </w:r>
      <w:r>
        <w:t xml:space="preserve">spatial</w:t>
      </w:r>
      <w:r>
        <w:t xml:space="preserve"> </w:t>
      </w:r>
      <w:r>
        <w:t xml:space="preserve">coverage,</w:t>
      </w:r>
      <w:r>
        <w:t xml:space="preserve"> </w:t>
      </w:r>
      <w:r>
        <w:t xml:space="preserve">particularly</w:t>
      </w:r>
      <w:r>
        <w:t xml:space="preserve"> </w:t>
      </w:r>
      <w:r>
        <w:t xml:space="preserve">in</w:t>
      </w:r>
      <w:r>
        <w:t xml:space="preserve"> </w:t>
      </w:r>
      <w:r>
        <w:t xml:space="preserve">intertidal</w:t>
      </w:r>
      <w:r>
        <w:t xml:space="preserve"> </w:t>
      </w:r>
      <w:r>
        <w:t xml:space="preserve">zones,</w:t>
      </w:r>
      <w:r>
        <w:t xml:space="preserve"> </w:t>
      </w:r>
      <w:r>
        <w:t xml:space="preserve">prompting</w:t>
      </w:r>
      <w:r>
        <w:t xml:space="preserve"> </w:t>
      </w:r>
      <w:r>
        <w:t xml:space="preserve">the</w:t>
      </w:r>
      <w:r>
        <w:t xml:space="preserve"> </w:t>
      </w:r>
      <w:r>
        <w:t xml:space="preserve">addition</w:t>
      </w:r>
      <w:r>
        <w:t xml:space="preserve"> </w:t>
      </w:r>
      <w:r>
        <w:t xml:space="preserve">of</w:t>
      </w:r>
      <w:r>
        <w:t xml:space="preserve"> </w:t>
      </w:r>
      <w:r>
        <w:t xml:space="preserve">satellite</w:t>
      </w:r>
      <w:r>
        <w:t xml:space="preserve"> </w:t>
      </w:r>
      <w:r>
        <w:t xml:space="preserve">data</w:t>
      </w:r>
      <w:r>
        <w:t xml:space="preserve"> </w:t>
      </w:r>
      <w:r>
        <w:t xml:space="preserve">within</w:t>
      </w:r>
      <w:r>
        <w:t xml:space="preserve"> </w:t>
      </w:r>
      <w:r>
        <w:t xml:space="preserve">monitoring</w:t>
      </w:r>
      <w:r>
        <w:t xml:space="preserve"> </w:t>
      </w:r>
      <w:r>
        <w:t xml:space="preserve">programs.</w:t>
      </w:r>
      <w:r>
        <w:t xml:space="preserve"> </w:t>
      </w:r>
      <w:r>
        <w:t xml:space="preserve">Yet,</w:t>
      </w:r>
      <w:r>
        <w:t xml:space="preserve"> </w:t>
      </w:r>
      <w:r>
        <w:t xml:space="preserve">satellite</w:t>
      </w:r>
      <w:r>
        <w:t xml:space="preserve"> </w:t>
      </w:r>
      <w:r>
        <w:t xml:space="preserve">remote</w:t>
      </w:r>
      <w:r>
        <w:t xml:space="preserve"> </w:t>
      </w:r>
      <w:r>
        <w:t xml:space="preserve">sensing</w:t>
      </w:r>
      <w:r>
        <w:t xml:space="preserve"> </w:t>
      </w:r>
      <w:r>
        <w:t xml:space="preserve">struggles</w:t>
      </w:r>
      <w:r>
        <w:t xml:space="preserve"> </w:t>
      </w:r>
      <w:r>
        <w:t xml:space="preserve">with</w:t>
      </w:r>
      <w:r>
        <w:t xml:space="preserve"> </w:t>
      </w:r>
      <w:r>
        <w:t xml:space="preserve">spatial</w:t>
      </w:r>
      <w:r>
        <w:t xml:space="preserve"> </w:t>
      </w:r>
      <w:r>
        <w:t xml:space="preserve">and</w:t>
      </w:r>
      <w:r>
        <w:t xml:space="preserve"> </w:t>
      </w:r>
      <w:r>
        <w:t xml:space="preserve">spectral</w:t>
      </w:r>
      <w:r>
        <w:t xml:space="preserve"> </w:t>
      </w:r>
      <w:r>
        <w:t xml:space="preserve">resolution,</w:t>
      </w:r>
      <w:r>
        <w:t xml:space="preserve"> </w:t>
      </w:r>
      <w:r>
        <w:t xml:space="preserve">making</w:t>
      </w:r>
      <w:r>
        <w:t xml:space="preserve"> </w:t>
      </w:r>
      <w:r>
        <w:t xml:space="preserve">it</w:t>
      </w:r>
      <w:r>
        <w:t xml:space="preserve"> </w:t>
      </w:r>
      <w:r>
        <w:t xml:space="preserve">difficult</w:t>
      </w:r>
      <w:r>
        <w:t xml:space="preserve"> </w:t>
      </w:r>
      <w:r>
        <w:t xml:space="preserve">to</w:t>
      </w:r>
      <w:r>
        <w:t xml:space="preserve"> </w:t>
      </w:r>
      <w:r>
        <w:t xml:space="preserve">discriminate</w:t>
      </w:r>
      <w:r>
        <w:t xml:space="preserve"> </w:t>
      </w:r>
      <w:r>
        <w:t xml:space="preserve">seagrass</w:t>
      </w:r>
      <w:r>
        <w:t xml:space="preserve"> </w:t>
      </w:r>
      <w:r>
        <w:t xml:space="preserve">from</w:t>
      </w:r>
      <w:r>
        <w:t xml:space="preserve"> </w:t>
      </w:r>
      <w:r>
        <w:t xml:space="preserve">other</w:t>
      </w:r>
      <w:r>
        <w:t xml:space="preserve"> </w:t>
      </w:r>
      <w:r>
        <w:t xml:space="preserve">macrophytes</w:t>
      </w:r>
      <w:r>
        <w:t xml:space="preserve"> </w:t>
      </w:r>
      <w:r>
        <w:t xml:space="preserve">in</w:t>
      </w:r>
      <w:r>
        <w:t xml:space="preserve"> </w:t>
      </w:r>
      <w:r>
        <w:t xml:space="preserve">highly</w:t>
      </w:r>
      <w:r>
        <w:t xml:space="preserve"> </w:t>
      </w:r>
      <w:r>
        <w:t xml:space="preserve">heterogenous</w:t>
      </w:r>
      <w:r>
        <w:t xml:space="preserve"> </w:t>
      </w:r>
      <w:r>
        <w:t xml:space="preserve">meadows.</w:t>
      </w:r>
      <w:r>
        <w:t xml:space="preserve"> </w:t>
      </w:r>
      <w:r>
        <w:t xml:space="preserve">Drone</w:t>
      </w:r>
      <w:r>
        <w:t xml:space="preserve"> </w:t>
      </w:r>
      <w:r>
        <w:t xml:space="preserve">(unmanned</w:t>
      </w:r>
      <w:r>
        <w:t xml:space="preserve"> </w:t>
      </w:r>
      <w:r>
        <w:t xml:space="preserve">aerial</w:t>
      </w:r>
      <w:r>
        <w:t xml:space="preserve"> </w:t>
      </w:r>
      <w:r>
        <w:t xml:space="preserve">vehicles</w:t>
      </w:r>
      <w:r>
        <w:t xml:space="preserve"> </w:t>
      </w:r>
      <w:r>
        <w:t xml:space="preserve">–</w:t>
      </w:r>
      <w:r>
        <w:t xml:space="preserve"> </w:t>
      </w:r>
      <w:r>
        <w:t xml:space="preserve">UAV)</w:t>
      </w:r>
      <w:r>
        <w:t xml:space="preserve"> </w:t>
      </w:r>
      <w:r>
        <w:t xml:space="preserve">images</w:t>
      </w:r>
      <w:r>
        <w:t xml:space="preserve"> </w:t>
      </w:r>
      <w:r>
        <w:t xml:space="preserve">at</w:t>
      </w:r>
      <w:r>
        <w:t xml:space="preserve"> </w:t>
      </w:r>
      <w:r>
        <w:t xml:space="preserve">a</w:t>
      </w:r>
      <w:r>
        <w:t xml:space="preserve"> </w:t>
      </w:r>
      <w:r>
        <w:t xml:space="preserve">very</w:t>
      </w:r>
      <w:r>
        <w:t xml:space="preserve"> </w:t>
      </w:r>
      <w:r>
        <w:t xml:space="preserve">high</w:t>
      </w:r>
      <w:r>
        <w:t xml:space="preserve"> </w:t>
      </w:r>
      <w:r>
        <w:t xml:space="preserve">spatial</w:t>
      </w:r>
      <w:r>
        <w:t xml:space="preserve"> </w:t>
      </w:r>
      <w:r>
        <w:t xml:space="preserve">resolution</w:t>
      </w:r>
      <w:r>
        <w:t xml:space="preserve"> </w:t>
      </w:r>
      <w:r>
        <w:t xml:space="preserve">offer</w:t>
      </w:r>
      <w:r>
        <w:t xml:space="preserve"> </w:t>
      </w:r>
      <w:r>
        <w:t xml:space="preserve">a</w:t>
      </w:r>
      <w:r>
        <w:t xml:space="preserve"> </w:t>
      </w:r>
      <w:r>
        <w:t xml:space="preserve">promising</w:t>
      </w:r>
      <w:r>
        <w:t xml:space="preserve"> </w:t>
      </w:r>
      <w:r>
        <w:t xml:space="preserve">solution</w:t>
      </w:r>
      <w:r>
        <w:t xml:space="preserve"> </w:t>
      </w:r>
      <w:r>
        <w:t xml:space="preserve">to</w:t>
      </w:r>
      <w:r>
        <w:t xml:space="preserve"> </w:t>
      </w:r>
      <w:r>
        <w:t xml:space="preserve">address</w:t>
      </w:r>
      <w:r>
        <w:t xml:space="preserve"> </w:t>
      </w:r>
      <w:r>
        <w:t xml:space="preserve">challenges</w:t>
      </w:r>
      <w:r>
        <w:t xml:space="preserve"> </w:t>
      </w:r>
      <w:r>
        <w:t xml:space="preserve">related</w:t>
      </w:r>
      <w:r>
        <w:t xml:space="preserve"> </w:t>
      </w:r>
      <w:r>
        <w:t xml:space="preserve">to</w:t>
      </w:r>
      <w:r>
        <w:t xml:space="preserve"> </w:t>
      </w:r>
      <w:r>
        <w:t xml:space="preserve">spatial</w:t>
      </w:r>
      <w:r>
        <w:t xml:space="preserve"> </w:t>
      </w:r>
      <w:r>
        <w:t xml:space="preserve">heterogeneity</w:t>
      </w:r>
      <w:r>
        <w:t xml:space="preserve"> </w:t>
      </w:r>
      <w:r>
        <w:t xml:space="preserve">and</w:t>
      </w:r>
      <w:r>
        <w:t xml:space="preserve"> </w:t>
      </w:r>
      <w:r>
        <w:t xml:space="preserve">intrapixel</w:t>
      </w:r>
      <w:r>
        <w:t xml:space="preserve"> </w:t>
      </w:r>
      <w:r>
        <w:t xml:space="preserve">mixture.</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using</w:t>
      </w:r>
      <w:r>
        <w:t xml:space="preserve"> </w:t>
      </w:r>
      <w:r>
        <w:t xml:space="preserve">drone</w:t>
      </w:r>
      <w:r>
        <w:t xml:space="preserve"> </w:t>
      </w:r>
      <w:r>
        <w:t xml:space="preserve">acquisitions</w:t>
      </w:r>
      <w:r>
        <w:t xml:space="preserve"> </w:t>
      </w:r>
      <w:r>
        <w:t xml:space="preserve">with</w:t>
      </w:r>
      <w:r>
        <w:t xml:space="preserve"> </w:t>
      </w:r>
      <w:r>
        <w:t xml:space="preserve">a</w:t>
      </w:r>
      <w:r>
        <w:t xml:space="preserve"> </w:t>
      </w:r>
      <w:r>
        <w:t xml:space="preserve">ten</w:t>
      </w:r>
      <w:r>
        <w:t xml:space="preserve"> </w:t>
      </w:r>
      <w:r>
        <w:t xml:space="preserve">spectral</w:t>
      </w:r>
      <w:r>
        <w:t xml:space="preserve"> </w:t>
      </w:r>
      <w:r>
        <w:t xml:space="preserve">band</w:t>
      </w:r>
      <w:r>
        <w:t xml:space="preserve"> </w:t>
      </w:r>
      <w:r>
        <w:t xml:space="preserve">sensor</w:t>
      </w:r>
      <w:r>
        <w:t xml:space="preserve"> </w:t>
      </w:r>
      <w:r>
        <w:t xml:space="preserve">mirroring</w:t>
      </w:r>
      <w:r>
        <w:t xml:space="preserve"> </w:t>
      </w:r>
      <w:r>
        <w:t xml:space="preserve">those</w:t>
      </w:r>
      <w:r>
        <w:t xml:space="preserve"> </w:t>
      </w:r>
      <w:r>
        <w:t xml:space="preserve">of</w:t>
      </w:r>
      <w:r>
        <w:t xml:space="preserve"> </w:t>
      </w:r>
      <w:r>
        <w:t xml:space="preserve">Sentinel-2,</w:t>
      </w:r>
      <w:r>
        <w:t xml:space="preserve"> </w:t>
      </w:r>
      <w:r>
        <w:t xml:space="preserve">for</w:t>
      </w:r>
      <w:r>
        <w:t xml:space="preserve"> </w:t>
      </w:r>
      <w:r>
        <w:t xml:space="preserve">mapping</w:t>
      </w:r>
      <w:r>
        <w:t xml:space="preserve"> </w:t>
      </w:r>
      <w:r>
        <w:t xml:space="preserve">intertidal</w:t>
      </w:r>
      <w:r>
        <w:t xml:space="preserve"> </w:t>
      </w:r>
      <w:r>
        <w:t xml:space="preserve">macrophytes</w:t>
      </w:r>
      <w:r>
        <w:t xml:space="preserve"> </w:t>
      </w:r>
      <w:r>
        <w:t xml:space="preserve">and</w:t>
      </w:r>
      <w:r>
        <w:t xml:space="preserve"> </w:t>
      </w:r>
      <w:r>
        <w:t xml:space="preserve">effectively</w:t>
      </w:r>
      <w:r>
        <w:t xml:space="preserve"> </w:t>
      </w:r>
      <w:r>
        <w:t xml:space="preserve">discriminating</w:t>
      </w:r>
      <w:r>
        <w:t xml:space="preserve"> </w:t>
      </w:r>
      <w:r>
        <w:t xml:space="preserve">between</w:t>
      </w:r>
      <w:r>
        <w:t xml:space="preserve"> </w:t>
      </w:r>
      <w:r>
        <w:t xml:space="preserve">seagrass</w:t>
      </w:r>
      <w:r>
        <w:t xml:space="preserve"> </w:t>
      </w:r>
      <w:r>
        <w:t xml:space="preserve">and</w:t>
      </w:r>
      <w:r>
        <w:t xml:space="preserve"> </w:t>
      </w:r>
      <w:r>
        <w:t xml:space="preserve">green</w:t>
      </w:r>
      <w:r>
        <w:t xml:space="preserve"> </w:t>
      </w:r>
      <w:r>
        <w:t xml:space="preserve">macroalgae.</w:t>
      </w:r>
      <w:r>
        <w:t xml:space="preserve"> </w:t>
      </w:r>
      <w:r>
        <w:t xml:space="preserve">Nine</w:t>
      </w:r>
      <w:r>
        <w:t xml:space="preserve"> </w:t>
      </w:r>
      <w:r>
        <w:t xml:space="preserve">drone</w:t>
      </w:r>
      <w:r>
        <w:t xml:space="preserve"> </w:t>
      </w:r>
      <w:r>
        <w:t xml:space="preserve">flights</w:t>
      </w:r>
      <w:r>
        <w:t xml:space="preserve"> </w:t>
      </w:r>
      <w:r>
        <w:t xml:space="preserve">were</w:t>
      </w:r>
      <w:r>
        <w:t xml:space="preserve"> </w:t>
      </w:r>
      <w:r>
        <w:t xml:space="preserve">conducted</w:t>
      </w:r>
      <w:r>
        <w:t xml:space="preserve"> </w:t>
      </w:r>
      <w:r>
        <w:t xml:space="preserve">at</w:t>
      </w:r>
      <w:r>
        <w:t xml:space="preserve"> </w:t>
      </w:r>
      <w:r>
        <w:t xml:space="preserve">two</w:t>
      </w:r>
      <w:r>
        <w:t xml:space="preserve"> </w:t>
      </w:r>
      <w:r>
        <w:t xml:space="preserve">different</w:t>
      </w:r>
      <w:r>
        <w:t xml:space="preserve"> </w:t>
      </w:r>
      <w:r>
        <w:t xml:space="preserve">altitudes</w:t>
      </w:r>
      <w:r>
        <w:t xml:space="preserve"> </w:t>
      </w:r>
      <w:r>
        <w:t xml:space="preserve">(12</w:t>
      </w:r>
      <w:r>
        <w:t xml:space="preserve"> </w:t>
      </w:r>
      <w:r>
        <w:t xml:space="preserve">m</w:t>
      </w:r>
      <w:r>
        <w:t xml:space="preserve"> </w:t>
      </w:r>
      <w:r>
        <w:t xml:space="preserve">and</w:t>
      </w:r>
      <w:r>
        <w:t xml:space="preserve"> </w:t>
      </w:r>
      <w:r>
        <w:t xml:space="preserve">120</w:t>
      </w:r>
      <w:r>
        <w:t xml:space="preserve"> </w:t>
      </w:r>
      <w:r>
        <w:t xml:space="preserve">m)</w:t>
      </w:r>
      <w:r>
        <w:t xml:space="preserve"> </w:t>
      </w:r>
      <w:r>
        <w:t xml:space="preserve">across</w:t>
      </w:r>
      <w:r>
        <w:t xml:space="preserve"> </w:t>
      </w:r>
      <w:r>
        <w:t xml:space="preserve">heterogeneous</w:t>
      </w:r>
      <w:r>
        <w:t xml:space="preserve"> </w:t>
      </w:r>
      <w:r>
        <w:t xml:space="preserve">intertidal</w:t>
      </w:r>
      <w:r>
        <w:t xml:space="preserve"> </w:t>
      </w:r>
      <w:r>
        <w:t xml:space="preserve">European</w:t>
      </w:r>
      <w:r>
        <w:t xml:space="preserve"> </w:t>
      </w:r>
      <w:r>
        <w:t xml:space="preserve">habitats</w:t>
      </w:r>
      <w:r>
        <w:t xml:space="preserve"> </w:t>
      </w:r>
      <w:r>
        <w:t xml:space="preserve">in</w:t>
      </w:r>
      <w:r>
        <w:t xml:space="preserve"> </w:t>
      </w:r>
      <w:r>
        <w:t xml:space="preserve">France</w:t>
      </w:r>
      <w:r>
        <w:t xml:space="preserve"> </w:t>
      </w:r>
      <w:r>
        <w:t xml:space="preserve">and</w:t>
      </w:r>
      <w:r>
        <w:t xml:space="preserve"> </w:t>
      </w:r>
      <w:r>
        <w:t xml:space="preserve">Portugal.</w:t>
      </w:r>
      <w:r>
        <w:t xml:space="preserve"> </w:t>
      </w:r>
      <w:r>
        <w:t xml:space="preserve">Low</w:t>
      </w:r>
      <w:r>
        <w:t xml:space="preserve"> </w:t>
      </w:r>
      <w:r>
        <w:t xml:space="preserve">altitude</w:t>
      </w:r>
      <w:r>
        <w:t xml:space="preserve"> </w:t>
      </w:r>
      <w:r>
        <w:t xml:space="preserve">flights</w:t>
      </w:r>
      <w:r>
        <w:t xml:space="preserve"> </w:t>
      </w:r>
      <w:r>
        <w:t xml:space="preserve">were</w:t>
      </w:r>
      <w:r>
        <w:t xml:space="preserve"> </w:t>
      </w:r>
      <w:r>
        <w:t xml:space="preserve">used</w:t>
      </w:r>
      <w:r>
        <w:t xml:space="preserve"> </w:t>
      </w:r>
      <w:r>
        <w:t xml:space="preserve">to</w:t>
      </w:r>
      <w:r>
        <w:t xml:space="preserve"> </w:t>
      </w:r>
      <w:r>
        <w:t xml:space="preserve">train</w:t>
      </w:r>
      <w:r>
        <w:t xml:space="preserve"> </w:t>
      </w:r>
      <w:r>
        <w:t xml:space="preserve">a</w:t>
      </w:r>
      <w:r>
        <w:t xml:space="preserve"> </w:t>
      </w:r>
      <w:r>
        <w:t xml:space="preserve">Deep</w:t>
      </w:r>
      <w:r>
        <w:t xml:space="preserve"> </w:t>
      </w:r>
      <w:r>
        <w:t xml:space="preserve">Learning</w:t>
      </w:r>
      <w:r>
        <w:t xml:space="preserve"> </w:t>
      </w:r>
      <w:r>
        <w:t xml:space="preserve">classifier</w:t>
      </w:r>
      <w:r>
        <w:t xml:space="preserve"> </w:t>
      </w:r>
      <w:r>
        <w:t xml:space="preserve">based</w:t>
      </w:r>
      <w:r>
        <w:t xml:space="preserve"> </w:t>
      </w:r>
      <w:r>
        <w:t xml:space="preserve">on</w:t>
      </w:r>
      <w:r>
        <w:t xml:space="preserve"> </w:t>
      </w:r>
      <w:r>
        <w:t xml:space="preserve">Neural</w:t>
      </w:r>
      <w:r>
        <w:t xml:space="preserve"> </w:t>
      </w:r>
      <w:r>
        <w:t xml:space="preserve">Networks</w:t>
      </w:r>
      <w:r>
        <w:t xml:space="preserve"> </w:t>
      </w:r>
      <w:r>
        <w:t xml:space="preserve">to</w:t>
      </w:r>
      <w:r>
        <w:t xml:space="preserve"> </w:t>
      </w:r>
      <w:r>
        <w:t xml:space="preserve">discrimintate</w:t>
      </w:r>
      <w:r>
        <w:t xml:space="preserve"> </w:t>
      </w:r>
      <w:r>
        <w:t xml:space="preserve">among</w:t>
      </w:r>
      <w:r>
        <w:t xml:space="preserve"> </w:t>
      </w:r>
      <w:r>
        <w:t xml:space="preserve">five</w:t>
      </w:r>
      <w:r>
        <w:t xml:space="preserve"> </w:t>
      </w:r>
      <w:r>
        <w:t xml:space="preserve">taxonomic</w:t>
      </w:r>
      <w:r>
        <w:t xml:space="preserve"> </w:t>
      </w:r>
      <w:r>
        <w:t xml:space="preserve">classes</w:t>
      </w:r>
      <w:r>
        <w:t xml:space="preserve"> </w:t>
      </w:r>
      <w:r>
        <w:t xml:space="preserve">of</w:t>
      </w:r>
      <w:r>
        <w:t xml:space="preserve"> </w:t>
      </w:r>
      <w:r>
        <w:t xml:space="preserve">intertidal</w:t>
      </w:r>
      <w:r>
        <w:t xml:space="preserve"> </w:t>
      </w:r>
      <w:r>
        <w:t xml:space="preserve">vegetation:</w:t>
      </w:r>
      <w:r>
        <w:t xml:space="preserve"> </w:t>
      </w:r>
      <w:r>
        <w:t xml:space="preserve">Magnoliopsida</w:t>
      </w:r>
      <w:r>
        <w:t xml:space="preserve"> </w:t>
      </w:r>
      <w:r>
        <w:t xml:space="preserve">(Seagrass),</w:t>
      </w:r>
      <w:r>
        <w:t xml:space="preserve"> </w:t>
      </w:r>
      <w:r>
        <w:t xml:space="preserve">Chlorophyceae</w:t>
      </w:r>
      <w:r>
        <w:t xml:space="preserve"> </w:t>
      </w:r>
      <w:r>
        <w:t xml:space="preserve">(Green</w:t>
      </w:r>
      <w:r>
        <w:t xml:space="preserve"> </w:t>
      </w:r>
      <w:r>
        <w:t xml:space="preserve">macroalgae),</w:t>
      </w:r>
      <w:r>
        <w:t xml:space="preserve"> </w:t>
      </w:r>
      <w:r>
        <w:t xml:space="preserve">Phaeophyceae</w:t>
      </w:r>
      <w:r>
        <w:t xml:space="preserve"> </w:t>
      </w:r>
      <w:r>
        <w:t xml:space="preserve">(Brown</w:t>
      </w:r>
      <w:r>
        <w:t xml:space="preserve"> </w:t>
      </w:r>
      <w:r>
        <w:t xml:space="preserve">algae),</w:t>
      </w:r>
      <w:r>
        <w:t xml:space="preserve"> </w:t>
      </w:r>
      <w:r>
        <w:t xml:space="preserve">Rhodophyceae</w:t>
      </w:r>
      <w:r>
        <w:t xml:space="preserve"> </w:t>
      </w:r>
      <w:r>
        <w:t xml:space="preserve">(Red</w:t>
      </w:r>
      <w:r>
        <w:t xml:space="preserve"> </w:t>
      </w:r>
      <w:r>
        <w:t xml:space="preserve">macroalgae)</w:t>
      </w:r>
      <w:r>
        <w:t xml:space="preserve"> </w:t>
      </w:r>
      <w:r>
        <w:t xml:space="preserve">and</w:t>
      </w:r>
      <w:r>
        <w:t xml:space="preserve"> </w:t>
      </w:r>
      <w:r>
        <w:t xml:space="preserve">benthic</w:t>
      </w:r>
      <w:r>
        <w:t xml:space="preserve"> </w:t>
      </w:r>
      <w:r>
        <w:t xml:space="preserve">Bacillariophyceae</w:t>
      </w:r>
      <w:r>
        <w:t xml:space="preserve"> </w:t>
      </w:r>
      <w:r>
        <w:t xml:space="preserve">(Diatoms).</w:t>
      </w:r>
      <w:r>
        <w:t xml:space="preserve"> </w:t>
      </w:r>
      <w:r>
        <w:t xml:space="preserve">Classification</w:t>
      </w:r>
      <w:r>
        <w:t xml:space="preserve"> </w:t>
      </w:r>
      <w:r>
        <w:t xml:space="preserve">of</w:t>
      </w:r>
      <w:r>
        <w:t xml:space="preserve"> </w:t>
      </w:r>
      <w:r>
        <w:t xml:space="preserve">drone</w:t>
      </w:r>
      <w:r>
        <w:t xml:space="preserve"> </w:t>
      </w:r>
      <w:r>
        <w:t xml:space="preserve">imagery</w:t>
      </w:r>
      <w:r>
        <w:t xml:space="preserve"> </w:t>
      </w:r>
      <w:r>
        <w:t xml:space="preserve">resulted</w:t>
      </w:r>
      <w:r>
        <w:t xml:space="preserve"> </w:t>
      </w:r>
      <w:r>
        <w:t xml:space="preserve">in</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94%</w:t>
      </w:r>
      <w:r>
        <w:t xml:space="preserve"> </w:t>
      </w:r>
      <w:r>
        <w:t xml:space="preserve">across</w:t>
      </w:r>
      <w:r>
        <w:t xml:space="preserve"> </w:t>
      </w:r>
      <w:r>
        <w:t xml:space="preserve">all</w:t>
      </w:r>
      <w:r>
        <w:t xml:space="preserve"> </w:t>
      </w:r>
      <w:r>
        <w:t xml:space="preserve">the</w:t>
      </w:r>
      <w:r>
        <w:t xml:space="preserve"> </w:t>
      </w:r>
      <w:r>
        <w:t xml:space="preserve">sites</w:t>
      </w:r>
      <w:r>
        <w:t xml:space="preserve"> </w:t>
      </w:r>
      <w:r>
        <w:t xml:space="preserve">and</w:t>
      </w:r>
      <w:r>
        <w:t xml:space="preserve"> </w:t>
      </w:r>
      <w:r>
        <w:t xml:space="preserve">images,</w:t>
      </w:r>
      <w:r>
        <w:t xml:space="preserve"> </w:t>
      </w:r>
      <w:r>
        <w:t xml:space="preserve">covering</w:t>
      </w:r>
      <w:r>
        <w:t xml:space="preserve"> </w:t>
      </w:r>
      <w:r>
        <w:t xml:space="preserve">a</w:t>
      </w:r>
      <w:r>
        <w:t xml:space="preserve"> </w:t>
      </w:r>
      <w:r>
        <w:t xml:space="preserve">total</w:t>
      </w:r>
      <w:r>
        <w:t xml:space="preserve"> </w:t>
      </w:r>
      <w:r>
        <w:t xml:space="preserve">area</w:t>
      </w:r>
      <w:r>
        <w:t xml:space="preserve"> </w:t>
      </w:r>
      <w:r>
        <w:t xml:space="preserve">of</w:t>
      </w:r>
      <w:r>
        <w:t xml:space="preserve"> </w:t>
      </w:r>
      <w:r>
        <w:t xml:space="preserve">467</w:t>
      </w:r>
      <w:r>
        <w:t xml:space="preserve"> </w:t>
      </w:r>
      <w:r>
        <w:t xml:space="preserve">000</w:t>
      </w:r>
      <w:r>
        <w:t xml:space="preserve"> </w:t>
      </w:r>
      <w:r>
        <w:t xml:space="preserve">m².</w:t>
      </w:r>
      <w:r>
        <w:t xml:space="preserve"> </w:t>
      </w:r>
      <w:r>
        <w:t xml:space="preserve">The</w:t>
      </w:r>
      <w:r>
        <w:t xml:space="preserve"> </w:t>
      </w:r>
      <w:r>
        <w:t xml:space="preserve">model</w:t>
      </w:r>
      <w:r>
        <w:t xml:space="preserve"> </w:t>
      </w:r>
      <w:r>
        <w:t xml:space="preserve">exhibited</w:t>
      </w:r>
      <w:r>
        <w:t xml:space="preserve"> </w:t>
      </w:r>
      <w:r>
        <w:t xml:space="preserve">an</w:t>
      </w:r>
      <w:r>
        <w:t xml:space="preserve"> </w:t>
      </w:r>
      <w:r>
        <w:t xml:space="preserve">accuracy</w:t>
      </w:r>
      <w:r>
        <w:t xml:space="preserve"> </w:t>
      </w:r>
      <w:r>
        <w:t xml:space="preserve">of</w:t>
      </w:r>
      <w:r>
        <w:t xml:space="preserve"> </w:t>
      </w:r>
      <w:r>
        <w:t xml:space="preserve">96.4%</w:t>
      </w:r>
      <w:r>
        <w:t xml:space="preserve"> </w:t>
      </w:r>
      <w:r>
        <w:t xml:space="preserve">in</w:t>
      </w:r>
      <w:r>
        <w:t xml:space="preserve"> </w:t>
      </w:r>
      <w:r>
        <w:t xml:space="preserve">identifying</w:t>
      </w:r>
      <w:r>
        <w:t xml:space="preserve"> </w:t>
      </w:r>
      <w:r>
        <w:t xml:space="preserve">seagrass.</w:t>
      </w:r>
      <w:r>
        <w:t xml:space="preserve"> </w:t>
      </w:r>
      <w:r>
        <w:t xml:space="preserve">Importantly,</w:t>
      </w:r>
      <w:r>
        <w:t xml:space="preserve"> </w:t>
      </w:r>
      <w:r>
        <w:t xml:space="preserve">seagrass</w:t>
      </w:r>
      <w:r>
        <w:t xml:space="preserve"> </w:t>
      </w:r>
      <w:r>
        <w:t xml:space="preserve">and</w:t>
      </w:r>
      <w:r>
        <w:t xml:space="preserve"> </w:t>
      </w:r>
      <w:r>
        <w:t xml:space="preserve">green</w:t>
      </w:r>
      <w:r>
        <w:t xml:space="preserve"> </w:t>
      </w:r>
      <w:r>
        <w:t xml:space="preserve">algae</w:t>
      </w:r>
      <w:r>
        <w:t xml:space="preserve"> </w:t>
      </w:r>
      <w:r>
        <w:t xml:space="preserve">can</w:t>
      </w:r>
      <w:r>
        <w:t xml:space="preserve"> </w:t>
      </w:r>
      <w:r>
        <w:t xml:space="preserve">be</w:t>
      </w:r>
      <w:r>
        <w:t xml:space="preserve"> </w:t>
      </w:r>
      <w:r>
        <w:t xml:space="preserve">discriminated,</w:t>
      </w:r>
      <w:r>
        <w:t xml:space="preserve"> </w:t>
      </w:r>
      <w:r>
        <w:t xml:space="preserve">although</w:t>
      </w:r>
      <w:r>
        <w:t xml:space="preserve"> </w:t>
      </w:r>
      <w:r>
        <w:t xml:space="preserve">they</w:t>
      </w:r>
      <w:r>
        <w:t xml:space="preserve"> </w:t>
      </w:r>
      <w:r>
        <w:t xml:space="preserve">share</w:t>
      </w:r>
      <w:r>
        <w:t xml:space="preserve"> </w:t>
      </w:r>
      <w:r>
        <w:t xml:space="preserve">the</w:t>
      </w:r>
      <w:r>
        <w:t xml:space="preserve"> </w:t>
      </w:r>
      <w:r>
        <w:t xml:space="preserve">same</w:t>
      </w:r>
      <w:r>
        <w:t xml:space="preserve"> </w:t>
      </w:r>
      <w:r>
        <w:t xml:space="preserve">pigment</w:t>
      </w:r>
      <w:r>
        <w:t xml:space="preserve"> </w:t>
      </w:r>
      <w:r>
        <w:t xml:space="preserve">composition.</w:t>
      </w:r>
      <w:r>
        <w:t xml:space="preserve"> </w:t>
      </w:r>
      <w:r>
        <w:t xml:space="preserve">As</w:t>
      </w:r>
      <w:r>
        <w:t xml:space="preserve"> </w:t>
      </w:r>
      <w:r>
        <w:t xml:space="preserve">the</w:t>
      </w:r>
      <w:r>
        <w:t xml:space="preserve"> </w:t>
      </w:r>
      <w:r>
        <w:t xml:space="preserve">algorithm</w:t>
      </w:r>
      <w:r>
        <w:t xml:space="preserve"> </w:t>
      </w:r>
      <w:r>
        <w:t xml:space="preserve">was</w:t>
      </w:r>
      <w:r>
        <w:t xml:space="preserve"> </w:t>
      </w:r>
      <w:r>
        <w:t xml:space="preserve">developed</w:t>
      </w:r>
      <w:r>
        <w:t xml:space="preserve"> </w:t>
      </w:r>
      <w:r>
        <w:t xml:space="preserve">for</w:t>
      </w:r>
      <w:r>
        <w:t xml:space="preserve"> </w:t>
      </w:r>
      <w:r>
        <w:t xml:space="preserve">a</w:t>
      </w:r>
      <w:r>
        <w:t xml:space="preserve"> </w:t>
      </w:r>
      <w:r>
        <w:t xml:space="preserve">multispectral</w:t>
      </w:r>
      <w:r>
        <w:t xml:space="preserve"> </w:t>
      </w:r>
      <w:r>
        <w:t xml:space="preserve">camera</w:t>
      </w:r>
      <w:r>
        <w:t xml:space="preserve"> </w:t>
      </w:r>
      <w:r>
        <w:t xml:space="preserve">with</w:t>
      </w:r>
      <w:r>
        <w:t xml:space="preserve"> </w:t>
      </w:r>
      <w:r>
        <w:t xml:space="preserve">ten</w:t>
      </w:r>
      <w:r>
        <w:t xml:space="preserve"> </w:t>
      </w:r>
      <w:r>
        <w:t xml:space="preserve">spectral</w:t>
      </w:r>
      <w:r>
        <w:t xml:space="preserve"> </w:t>
      </w:r>
      <w:r>
        <w:t xml:space="preserve">bands</w:t>
      </w:r>
      <w:r>
        <w:t xml:space="preserve"> </w:t>
      </w:r>
      <w:r>
        <w:t xml:space="preserve">in</w:t>
      </w:r>
      <w:r>
        <w:t xml:space="preserve"> </w:t>
      </w:r>
      <w:r>
        <w:t xml:space="preserve">the</w:t>
      </w:r>
      <w:r>
        <w:t xml:space="preserve"> </w:t>
      </w:r>
      <w:r>
        <w:t xml:space="preserve">visible</w:t>
      </w:r>
      <w:r>
        <w:t xml:space="preserve"> </w:t>
      </w:r>
      <w:r>
        <w:t xml:space="preserve">and</w:t>
      </w:r>
      <w:r>
        <w:t xml:space="preserve"> </w:t>
      </w:r>
      <w:r>
        <w:t xml:space="preserve">near-infrared,</w:t>
      </w:r>
      <w:r>
        <w:t xml:space="preserve"> </w:t>
      </w:r>
      <w:r>
        <w:t xml:space="preserve">it</w:t>
      </w:r>
      <w:r>
        <w:t xml:space="preserve"> </w:t>
      </w:r>
      <w:r>
        <w:t xml:space="preserve">could</w:t>
      </w:r>
      <w:r>
        <w:t xml:space="preserve"> </w:t>
      </w:r>
      <w:r>
        <w:t xml:space="preserve">be</w:t>
      </w:r>
      <w:r>
        <w:t xml:space="preserve"> </w:t>
      </w:r>
      <w:r>
        <w:t xml:space="preserve">adapted</w:t>
      </w:r>
      <w:r>
        <w:t xml:space="preserve"> </w:t>
      </w:r>
      <w:r>
        <w:t xml:space="preserve">to</w:t>
      </w:r>
      <w:r>
        <w:t xml:space="preserve"> </w:t>
      </w:r>
      <w:r>
        <w:t xml:space="preserve">the</w:t>
      </w:r>
      <w:r>
        <w:t xml:space="preserve"> </w:t>
      </w:r>
      <w:r>
        <w:t xml:space="preserve">Multi-Spectral</w:t>
      </w:r>
      <w:r>
        <w:t xml:space="preserve"> </w:t>
      </w:r>
      <w:r>
        <w:t xml:space="preserve">Instrument</w:t>
      </w:r>
      <w:r>
        <w:t xml:space="preserve"> </w:t>
      </w:r>
      <w:r>
        <w:t xml:space="preserve">(MSI)</w:t>
      </w:r>
      <w:r>
        <w:t xml:space="preserve"> </w:t>
      </w:r>
      <w:r>
        <w:t xml:space="preserve">onboard</w:t>
      </w:r>
      <w:r>
        <w:t xml:space="preserve"> </w:t>
      </w:r>
      <w:r>
        <w:t xml:space="preserve">Sentinel-2</w:t>
      </w:r>
      <w:r>
        <w:t xml:space="preserve"> </w:t>
      </w:r>
      <w:r>
        <w:t xml:space="preserve">thus</w:t>
      </w:r>
      <w:r>
        <w:t xml:space="preserve"> </w:t>
      </w:r>
      <w:r>
        <w:t xml:space="preserve">offering</w:t>
      </w:r>
      <w:r>
        <w:t xml:space="preserve"> </w:t>
      </w:r>
      <w:r>
        <w:t xml:space="preserve">promising</w:t>
      </w:r>
      <w:r>
        <w:t xml:space="preserve"> </w:t>
      </w:r>
      <w:r>
        <w:t xml:space="preserve">perspectives</w:t>
      </w:r>
      <w:r>
        <w:t xml:space="preserve"> </w:t>
      </w:r>
      <w:r>
        <w:t xml:space="preserve">for</w:t>
      </w:r>
      <w:r>
        <w:t xml:space="preserve"> </w:t>
      </w:r>
      <w:r>
        <w:t xml:space="preserve">satellite</w:t>
      </w:r>
      <w:r>
        <w:t xml:space="preserve"> </w:t>
      </w:r>
      <w:r>
        <w:t xml:space="preserve">remote</w:t>
      </w:r>
      <w:r>
        <w:t xml:space="preserve"> </w:t>
      </w:r>
      <w:r>
        <w:t xml:space="preserve">sensing</w:t>
      </w:r>
      <w:r>
        <w:t xml:space="preserve"> </w:t>
      </w:r>
      <w:r>
        <w:t xml:space="preserve">of</w:t>
      </w:r>
      <w:r>
        <w:t xml:space="preserve"> </w:t>
      </w:r>
      <w:r>
        <w:t xml:space="preserve">intertidal</w:t>
      </w:r>
      <w:r>
        <w:t xml:space="preserve"> </w:t>
      </w:r>
      <w:r>
        <w:t xml:space="preserve">biodiversity</w:t>
      </w:r>
      <w:r>
        <w:t xml:space="preserve"> </w:t>
      </w:r>
      <w:r>
        <w:t xml:space="preserve">over</w:t>
      </w:r>
      <w:r>
        <w:t xml:space="preserve"> </w:t>
      </w:r>
      <w:r>
        <w:t xml:space="preserve">lager</w:t>
      </w:r>
      <w:r>
        <w:t xml:space="preserve"> </w:t>
      </w:r>
      <w:r>
        <w:t xml:space="preserve">scales.</w:t>
      </w:r>
    </w:p>
    <w:bookmarkStart w:id="20" w:name="introduction"/>
    <w:p>
      <w:pPr>
        <w:pStyle w:val="Heading1"/>
      </w:pPr>
      <w:r>
        <w:t xml:space="preserve">1. Introduction</w:t>
      </w:r>
    </w:p>
    <w:p>
      <w:pPr>
        <w:pStyle w:val="FirstParagraph"/>
      </w:pPr>
      <w:r>
        <w:t xml:space="preserve">Coastal areas are vital hotspots for marine biodiversity, with intertidal seagrass meadows playing a crucial role at the interface between the land and oceans</w:t>
      </w:r>
      <w:r>
        <w:t xml:space="preserve"> </w:t>
      </w:r>
      <w:r>
        <w:t xml:space="preserve">(Unsworth et al., 2022)</w:t>
      </w:r>
      <w:r>
        <w:t xml:space="preserve">. Seagrass meadows provide a myriad of ecosystem services, including carbon sequestration, oxygen production, protection against sea-level rise and coastline erosion, and mitigation of eutrophication</w:t>
      </w:r>
      <w:r>
        <w:t xml:space="preserve"> </w:t>
      </w:r>
      <w:r>
        <w:t xml:space="preserve">(Unsworth et al., 2022 ; Sousa et al., 2019)</w:t>
      </w:r>
      <w:r>
        <w:t xml:space="preserve">. They serve as vital habitats for a diverse array of marine and terrestrial species, providing living, breeding, and feeding grounds</w:t>
      </w:r>
      <w:r>
        <w:t xml:space="preserve"> </w:t>
      </w:r>
      <w:r>
        <w:t xml:space="preserve">(Gardner and Finlayson, 2018 ; Zoffoli et al., 2022 ; Jankowska et al., 2019)</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(Nguyen et al., 2021 ; Soissons et al., 2018 ; Orth et al., 2006 ; Lin et al., 2018 ; Duffy et al., 2019 ; Rasheed and Unsworth, 2011 ; Chefaoui et al., 2018 ;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 ; Zoffoli et al., 2021 ; Sousa et al., 2019)</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Cs/>
          <w:i/>
        </w:rPr>
        <w:t xml:space="preserve">in situ</w:t>
      </w:r>
      <w:r>
        <w:t xml:space="preserve"> </w:t>
      </w:r>
      <w:r>
        <w:t xml:space="preserve">measurements. However, the acquisition of these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w:t>
      </w:r>
      <w:r>
        <w:t xml:space="preserve"> </w:t>
      </w:r>
      <w:r>
        <w:rPr>
          <w:iCs/>
          <w:i/>
        </w:rPr>
        <w:t xml:space="preserve">in situ</w:t>
      </w:r>
      <w:r>
        <w:t xml:space="preserve"> </w:t>
      </w:r>
      <w:r>
        <w:t xml:space="preserve">sampling, allowing for the near real-time and consistent retrieval of seagrass EOVs and EBVs over extensive meadows.</w:t>
      </w:r>
      <w:r>
        <w:t xml:space="preserve"> </w:t>
      </w:r>
      <w:r>
        <w:t xml:space="preserve">(Zoffoli et al., 2021 ; Xu et al., 2021 ; Traganos and Reinartz, 2018 ; Coffer et al., 2023)</w:t>
      </w:r>
    </w:p>
    <w:p>
      <w:pPr>
        <w:pStyle w:val="BodyText"/>
      </w:pPr>
      <w:r>
        <w:t xml:space="preserve">While satellite remote sensing (RS) provides temporally consistent observations over large spatial scales, its utilization over intertidal areas is limited by several constraints. Satellite missions with a high temporal resolution (e.g. daily MODIS observation) are limited by a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(Ralph et al., 2002 ; Douay et al., 2022)</w:t>
      </w:r>
      <w:r>
        <w:t xml:space="preserve">. Therefore, to someone not specialized in the field, their spectral signatures may appear to be alike</w:t>
      </w:r>
      <w:r>
        <w:t xml:space="preserve"> </w:t>
      </w:r>
      <w:r>
        <w:t xml:space="preserve">(Davies et al., 2023a ; Bannari et al., 2022)</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radiometric data acquired at Sentinel-2 ’s spectral resolution. However the application of this approach to satellite RS remains to be validated. Moreover patches of green algae can develop at small spatial scales that are not observable using non-commercial satellite imagery</w:t>
      </w:r>
      <w:r>
        <w:t xml:space="preserve"> </w:t>
      </w:r>
      <w:r>
        <w:t xml:space="preserve">(Tuya et al., 2013)</w:t>
      </w:r>
      <w:r>
        <w:t xml:space="preserve">, especially during the initial stage of a green tide.</w:t>
      </w:r>
    </w:p>
    <w:p>
      <w:pPr>
        <w:pStyle w:val="BodyText"/>
      </w:pPr>
      <w:r>
        <w:t xml:space="preserve">Drones (Unmanned Aerial Vehicles – UAVs) can potentially fill the data gaps left by satellite RS and</w:t>
      </w:r>
      <w:r>
        <w:t xml:space="preserve"> </w:t>
      </w:r>
      <w:r>
        <w:rPr>
          <w:iCs/>
          <w:i/>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 Oh et al., 2017)</w:t>
      </w:r>
      <w:r>
        <w:t xml:space="preserve">. The versatility of drones allows for their application across a diverse thematic range , from coastal zone management</w:t>
      </w:r>
      <w:r>
        <w:t xml:space="preserve"> </w:t>
      </w:r>
      <w:r>
        <w:t xml:space="preserve">(Adade et al., 2021 ; Casella et al., 2020 ; Angnuureng et al., 2022)</w:t>
      </w:r>
      <w:r>
        <w:t xml:space="preserve"> </w:t>
      </w:r>
      <w:r>
        <w:t xml:space="preserve">to mapping species distribution</w:t>
      </w:r>
      <w:r>
        <w:t xml:space="preserve"> </w:t>
      </w:r>
      <w:r>
        <w:t xml:space="preserve">(Joyce et al., 2023 ; Tallam et al., 2023 ; Roca et al., 2022 ; Román et al., 2021 ; Brunier et al., 2022 ; Sousa et al., 2019)</w:t>
      </w:r>
      <w:r>
        <w:t xml:space="preserve">. However, when applied to coastal habitat mapping, most case studies were previously limited to a single flight, restricting the generalizability of their application over wider geographical scales</w:t>
      </w:r>
      <w:r>
        <w:t xml:space="preserve"> </w:t>
      </w:r>
      <w:r>
        <w:t xml:space="preserve">(Román et al., 2021 ; Collin et al., 2019 ; Rossiter et al., 2020 ; Brunier et al., 2022)</w:t>
      </w:r>
      <w:r>
        <w:t xml:space="preserve">. The present study aimed at analyzing the potential of multispectral drone RS to map intertidal macrophytes over a diverse biogeographical range, with a particular focus on discriminating Magnoliopsida and Chlorophyceae (Seagrass and Green Algae, respectively). Ten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a loss of prediction accuracy. In addition, the results obtained from drone-based multispectral remote sensing will be spatially degraded to satellite resolutions, and the effect of this resolution on the model’s predictions will be investigated, providing insights for coastal habitat mapping using satellites.</w:t>
      </w:r>
    </w:p>
    <w:bookmarkEnd w:id="20"/>
    <w:bookmarkStart w:id="59" w:name="material-methods"/>
    <w:p>
      <w:pPr>
        <w:pStyle w:val="Heading1"/>
      </w:pPr>
      <w:r>
        <w:t xml:space="preserve">2. Material &amp; Methods</w:t>
      </w:r>
    </w:p>
    <w:bookmarkStart w:id="26" w:name="study-sites"/>
    <w:p>
      <w:pPr>
        <w:pStyle w:val="Heading2"/>
      </w:pPr>
      <w:r>
        <w:t xml:space="preserve">2.1 Study sites</w:t>
      </w:r>
    </w:p>
    <w:p>
      <w:pPr>
        <w:pStyle w:val="FirstParagraph"/>
      </w:pPr>
      <w:r>
        <w:t xml:space="preserve">Seven study sites distributed between France and Portugal were selected for their extensive intertidal seagrass beds. Two sites were located in the Gulf of Morbihan (</w:t>
      </w:r>
      <w:hyperlink w:anchor="fig-map">
        <w:r>
          <w:rPr>
            <w:rStyle w:val="Hyperlink"/>
          </w:rPr>
          <w:t xml:space="preserve">Figure 1</w:t>
        </w:r>
      </w:hyperlink>
      <w:r>
        <w:t xml:space="preserve"> </w:t>
      </w:r>
      <w:r>
        <w:t xml:space="preserve">A), France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(46.9849°N, 2.1488°W). This is a 340 km² semi-enclosed macrotidal bay, protected from waves by Noirmoutier Island. Bourgneuf bay hosts a large intertidal seagrass meadow of about 6 km²</w:t>
      </w:r>
      <w:r>
        <w:t xml:space="preserve"> </w:t>
      </w:r>
      <w:r>
        <w:t xml:space="preserve">(Zoffoli et al., 2020)</w:t>
      </w:r>
      <w:r>
        <w:t xml:space="preserve">. Within this meadow, the sites observed by drones (L’Epine and Barbatre,</w:t>
      </w:r>
      <w:r>
        <w:t xml:space="preserve"> </w:t>
      </w:r>
      <w:hyperlink w:anchor="fig-map">
        <w:r>
          <w:rPr>
            <w:rStyle w:val="Hyperlink"/>
          </w:rPr>
          <w:t xml:space="preserve">Figure 1</w:t>
        </w:r>
      </w:hyperlink>
      <w:r>
        <w:t xml:space="preserve"> </w:t>
      </w:r>
      <w:r>
        <w:t xml:space="preserve">B) contained monospecific beds of</w:t>
      </w:r>
      <w:r>
        <w:t xml:space="preserve"> </w:t>
      </w:r>
      <w:r>
        <w:rPr>
          <w:iCs/>
          <w:i/>
        </w:rPr>
        <w:t xml:space="preserve">Nanozostera noltei</w:t>
      </w:r>
      <w:r>
        <w:t xml:space="preserve"> </w:t>
      </w:r>
      <w:r>
        <w:t xml:space="preserve">(dwarf eelgrass, syn.</w:t>
      </w:r>
      <w:r>
        <w:t xml:space="preserve"> </w:t>
      </w:r>
      <w:r>
        <w:rPr>
          <w:iCs/>
          <w:i/>
        </w:rPr>
        <w:t xml:space="preserve">Zostera noltei</w:t>
      </w:r>
      <w:r>
        <w:t xml:space="preserve">) with very little mixing with other macrophytes. Bourgneuf Bay is also part of the Natura 2000 network and serves as a RAMSAR site due to its critical habitat for migratory bird species and its extensive seagrass meadows. Three sites were surveyed in the Ria de Aveiro Coastal Lagoon in Portugal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w:t>
      </w:r>
      <w:hyperlink w:anchor="fig-map">
        <w:r>
          <w:rPr>
            <w:rStyle w:val="Hyperlink"/>
          </w:rPr>
          <w:t xml:space="preserve">Figure 1</w:t>
        </w:r>
      </w:hyperlink>
      <w:r>
        <w:t xml:space="preserve"> </w:t>
      </w:r>
      <w:r>
        <w:t xml:space="preserve">C).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bookmarkStart w:id="25" w:name="cell-fig-map"/>
    <w:tbl>
      <w:tblPr>
        <w:tblStyle w:val="Table"/>
        <w:tblW w:type="pct" w:w="5000"/>
        <w:tblLook w:firstRow="0" w:lastRow="0" w:firstColumn="0" w:lastColumn="0" w:noHBand="0" w:noVBand="0" w:val="0000"/>
        <w:jc w:val="start"/>
        <w:tblLayout w:type="fixed"/>
      </w:tblPr>
      <w:tblGrid>
        <w:gridCol w:w="7920"/>
      </w:tblGrid>
      <w:tr>
        <w:tc>
          <w:tcPr/>
          <w:bookmarkStart w:id="24" w:name="fig-map"/>
          <w:p>
            <w:pPr>
              <w:pStyle w:val="Compact"/>
              <w:jc w:val="center"/>
            </w:pPr>
            <w:r>
              <w:drawing>
                <wp:inline>
                  <wp:extent cx="1144430" cy="1144430"/>
                  <wp:effectExtent b="0" l="0" r="0" t="0"/>
                  <wp:docPr descr="" title="" id="22" name="Picture"/>
                  <a:graphic>
                    <a:graphicData uri="http://schemas.openxmlformats.org/drawingml/2006/picture">
                      <pic:pic>
                        <pic:nvPicPr>
                          <pic:cNvPr descr="./Figures/Low_res/Fig1_Map_Drone_Sites.png" id="23" name="Picture"/>
                          <pic:cNvPicPr>
                            <a:picLocks noChangeArrowheads="1" noChangeAspect="1"/>
                          </pic:cNvPicPr>
                        </pic:nvPicPr>
                        <pic:blipFill>
                          <a:blip r:embed="rId21"/>
                          <a:stretch>
                            <a:fillRect/>
                          </a:stretch>
                        </pic:blipFill>
                        <pic:spPr bwMode="auto">
                          <a:xfrm>
                            <a:off x="0" y="0"/>
                            <a:ext cx="1144430" cy="11444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drone flights in France and Portugal. A: Gulf of Morbihan (Two sites), B: Bourngeuf Bay (Two sites), C: Ria de Aveiro Coastal Lagoon (Three sites). Green areas represents the intertidal zone.</w:t>
            </w:r>
          </w:p>
          <w:bookmarkEnd w:id="24"/>
        </w:tc>
      </w:tr>
    </w:tbl>
    <w:bookmarkEnd w:id="25"/>
    <w:bookmarkEnd w:id="26"/>
    <w:bookmarkStart w:id="38" w:name="field-sampling"/>
    <w:p>
      <w:pPr>
        <w:pStyle w:val="Heading2"/>
      </w:pPr>
      <w:r>
        <w:t xml:space="preserve">2.2 Field sampling</w:t>
      </w:r>
    </w:p>
    <w:bookmarkStart w:id="31" w:name="drone-acquisition"/>
    <w:p>
      <w:pPr>
        <w:pStyle w:val="Heading3"/>
      </w:pPr>
      <w:r>
        <w:t xml:space="preserve">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near 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t>
      </w:r>
      <w:hyperlink w:anchor="tbl-flights">
        <w:r>
          <w:rPr>
            <w:rStyle w:val="Hyperlink"/>
          </w:rPr>
          <w:t xml:space="preserve">Table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0" w:name="tbl-flights"/>
          <w:p>
            <w:pPr>
              <w:jc w:val="center"/>
            </w:pPr>
            <w:pPr>
              <w:jc w:val="start"/>
              <w:spacing w:before="200"/>
              <w:pStyle w:val="ImageCaption"/>
            </w:pPr>
            <w:r>
              <w:t xml:space="preserve">Table 1: List of drone flight, summarising the date, the altitude, and the purpose of each flight. 12 m and 120 m flights have a spatial resolution of 8 and 80 mm respectively.</w:t>
            </w:r>
          </w:p>
          <w:p>
            <w:pPr>
              <w:jc w:val="center"/>
            </w:pPr>
            <w:r>
              <w:drawing>
                <wp:inline>
                  <wp:extent cx="5334000" cy="2339990"/>
                  <wp:effectExtent b="0" l="0" r="0" t="0"/>
                  <wp:docPr descr="" title="" id="28" name="Picture"/>
                  <a:graphic>
                    <a:graphicData uri="http://schemas.openxmlformats.org/drawingml/2006/picture">
                      <pic:pic>
                        <pic:nvPicPr>
                          <pic:cNvPr descr="Figures/High_res/Table1/table_flights.png" id="29" name="Picture"/>
                          <pic:cNvPicPr>
                            <a:picLocks noChangeArrowheads="1" noChangeAspect="1"/>
                          </pic:cNvPicPr>
                        </pic:nvPicPr>
                        <pic:blipFill>
                          <a:blip r:embed="rId27"/>
                          <a:stretch>
                            <a:fillRect/>
                          </a:stretch>
                        </pic:blipFill>
                        <pic:spPr bwMode="auto">
                          <a:xfrm>
                            <a:off x="0" y="0"/>
                            <a:ext cx="5334000" cy="2339990"/>
                          </a:xfrm>
                          <a:prstGeom prst="rect">
                            <a:avLst/>
                          </a:prstGeom>
                          <a:noFill/>
                          <a:ln w="9525">
                            <a:noFill/>
                            <a:headEnd/>
                            <a:tailEnd/>
                          </a:ln>
                        </pic:spPr>
                      </pic:pic>
                    </a:graphicData>
                  </a:graphic>
                </wp:inline>
              </w:drawing>
            </w:r>
          </w:p>
          <w:bookmarkEnd w:id="30"/>
        </w:tc>
      </w:tr>
    </w:tbl>
    <w:bookmarkEnd w:id="31"/>
    <w:bookmarkStart w:id="37" w:name="ground-control-points"/>
    <w:p>
      <w:pPr>
        <w:pStyle w:val="Heading3"/>
      </w:pPr>
      <w:r>
        <w:t xml:space="preserve">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an horizontal and vertical accuracy of 10cm. A dGPS was also used to georeference quadrats of 0.25 m² ,which assessed the presence or absence of five key taxonomic classes of intertidal vegetation : Bacillariophyceae (unicellular benthic diatoms forming biofilms at the sediment surface during low tide), Phaeophyceae (brown macroalgae), Magnoliopsida (dwarf eelgrass), Chlorophyceae (green macroalgae) and Rhodophyceae (red macroalgae) (</w:t>
      </w:r>
      <w:hyperlink w:anchor="fig-vegetation">
        <w:r>
          <w:rPr>
            <w:rStyle w:val="Hyperlink"/>
          </w:rPr>
          <w:t xml:space="preserve">Figure 2</w:t>
        </w:r>
      </w:hyperlink>
      <w:r>
        <w:t xml:space="preserve">). Only homogeneous vegetation patches extending over several meters were selected as ground control points. Pictures of each quadrat were uploaded online to the Global Biodiversity Information Facility (GBIF) platform</w:t>
      </w:r>
      <w:r>
        <w:t xml:space="preserve"> </w:t>
      </w:r>
      <w:r>
        <w:t xml:space="preserve">(Davies et al., 2023b)</w:t>
      </w:r>
      <w:r>
        <w:t xml:space="preserve">, a public open portal to store and share biodiversity data.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error reduction in photo interpretations.</w:t>
      </w:r>
    </w:p>
    <w:bookmarkStart w:id="36" w:name="cell-fig-vegetation"/>
    <w:tbl>
      <w:tblPr>
        <w:tblStyle w:val="Table"/>
        <w:tblW w:type="pct" w:w="5000"/>
        <w:tblLook w:firstRow="0" w:lastRow="0" w:firstColumn="0" w:lastColumn="0" w:noHBand="0" w:noVBand="0" w:val="0000"/>
        <w:jc w:val="start"/>
        <w:tblLayout w:type="fixed"/>
      </w:tblPr>
      <w:tblGrid>
        <w:gridCol w:w="7920"/>
      </w:tblGrid>
      <w:tr>
        <w:tc>
          <w:tcPr/>
          <w:bookmarkStart w:id="35" w:name="fig-vegetation"/>
          <w:p>
            <w:pPr>
              <w:pStyle w:val="Compact"/>
              <w:jc w:val="center"/>
            </w:pPr>
            <w:r>
              <w:drawing>
                <wp:inline>
                  <wp:extent cx="5334000" cy="3824812"/>
                  <wp:effectExtent b="0" l="0" r="0" t="0"/>
                  <wp:docPr descr="" title="" id="33" name="Picture"/>
                  <a:graphic>
                    <a:graphicData uri="http://schemas.openxmlformats.org/drawingml/2006/picture">
                      <pic:pic>
                        <pic:nvPicPr>
                          <pic:cNvPr descr="Figures/Low_res/Spectral_shapes_total.png" id="34" name="Picture"/>
                          <pic:cNvPicPr>
                            <a:picLocks noChangeArrowheads="1" noChangeAspect="1"/>
                          </pic:cNvPicPr>
                        </pic:nvPicPr>
                        <pic:blipFill>
                          <a:blip r:embed="rId32"/>
                          <a:stretch>
                            <a:fillRect/>
                          </a:stretch>
                        </pic:blipFill>
                        <pic:spPr bwMode="auto">
                          <a:xfrm>
                            <a:off x="0" y="0"/>
                            <a:ext cx="5334000" cy="38248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five taxonomic classes of vegetation used to train the Neural Network model and their raw spectral signatures at the spectral resolution of the Micasense RedEdge Dual MX. A : Magnoliopsida (Nanozostera noltei syn. Zostera noltei) ; B : Phaeophyceae (Fucus sp.) ; C : Rhodophyceae (Gracilaria vermiculophylla) ; D : Chlorophyceae (Ulva sp.) ; E : Bacillariophyceae (Diatoms - MPB)</w:t>
            </w:r>
          </w:p>
          <w:bookmarkEnd w:id="35"/>
        </w:tc>
      </w:tr>
    </w:tbl>
    <w:bookmarkEnd w:id="36"/>
    <w:bookmarkEnd w:id="37"/>
    <w:bookmarkEnd w:id="38"/>
    <w:bookmarkStart w:id="39" w:name="drone-processing"/>
    <w:p>
      <w:pPr>
        <w:pStyle w:val="Heading2"/>
      </w:pPr>
      <w:r>
        <w:t xml:space="preserve">2.3 Drone Processing</w:t>
      </w:r>
    </w:p>
    <w:p>
      <w:pPr>
        <w:pStyle w:val="FirstParagraph"/>
      </w:pPr>
      <w:r>
        <w:t xml:space="preserve">A structure-from-motion photogrammetry software</w:t>
      </w:r>
      <w:r>
        <w:t xml:space="preserve"> </w:t>
      </w:r>
      <w:r>
        <w:t xml:space="preserve">(Agisoft Metashape, Agisoft, 2019)</w:t>
      </w:r>
      <w:r>
        <w:t xml:space="preserve">was used to process images to obtain multispectral orthomosaics of each flight. The process for orthomosaicking was identical for every flight. First, tying key points were detected inside of each image and between overlapping images in order to obtain a sparse point cloud. This cloud was cleaned using reprojection accuracy metric in order to remove noisy points. A dense point cloud was then produced using a structure from motion algorithm. A surface interpolation of this dense point cloud was made to obtain a digital surface model (DSM), used to reconstruct the multispectral ortho-image</w:t>
      </w:r>
      <w:r>
        <w:t xml:space="preserve"> </w:t>
      </w:r>
      <w:r>
        <w:t xml:space="preserve">(Nebel et al., 2020)</w:t>
      </w:r>
      <w:r>
        <w:t xml:space="preserve">. Low altitude drone flights produced ortho-images with a very high spatial resolution (8 mm per pixel), making it efficient to visually distinguish between the various types of vegetation. High altitude flights on the other hand allowed to cover large areas and produced images with a pixel size of 80 mm (</w:t>
      </w:r>
      <w:hyperlink w:anchor="tbl-flights">
        <w:r>
          <w:rPr>
            <w:rStyle w:val="Hyperlink"/>
          </w:rPr>
          <w:t xml:space="preserve">Table 1</w:t>
        </w:r>
      </w:hyperlink>
      <w:r>
        <w:t xml:space="preserve">).</w:t>
      </w:r>
    </w:p>
    <w:bookmarkEnd w:id="39"/>
    <w:bookmarkStart w:id="54" w:name="general-workflow"/>
    <w:p>
      <w:pPr>
        <w:pStyle w:val="Heading2"/>
      </w:pPr>
      <w:r>
        <w:t xml:space="preserve">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Hyperlink"/>
          </w:rPr>
          <w:t xml:space="preserve">Figure 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w:t>
        </w:r>
      </w:hyperlink>
      <w:r>
        <w:t xml:space="preserve">).</w:t>
      </w:r>
    </w:p>
    <w:bookmarkStart w:id="44" w:name="cell-fig-workflow"/>
    <w:tbl>
      <w:tblPr>
        <w:tblStyle w:val="Table"/>
        <w:tblW w:type="pct" w:w="5000"/>
        <w:tblLook w:firstRow="0" w:lastRow="0" w:firstColumn="0" w:lastColumn="0" w:noHBand="0" w:noVBand="0" w:val="0000"/>
        <w:jc w:val="start"/>
        <w:tblLayout w:type="fixed"/>
      </w:tblPr>
      <w:tblGrid>
        <w:gridCol w:w="7920"/>
      </w:tblGrid>
      <w:tr>
        <w:tc>
          <w:tcPr/>
          <w:bookmarkStart w:id="43" w:name="fig-workflow"/>
          <w:p>
            <w:pPr>
              <w:pStyle w:val="Compact"/>
              <w:jc w:val="center"/>
            </w:pPr>
            <w:r>
              <w:drawing>
                <wp:inline>
                  <wp:extent cx="5334000" cy="3136503"/>
                  <wp:effectExtent b="0" l="0" r="0" t="0"/>
                  <wp:docPr descr="" title="" id="41" name="Picture"/>
                  <a:graphic>
                    <a:graphicData uri="http://schemas.openxmlformats.org/drawingml/2006/picture">
                      <pic:pic>
                        <pic:nvPicPr>
                          <pic:cNvPr descr="./Figures/Low_res/Figure3_workflow.png" id="42" name="Picture"/>
                          <pic:cNvPicPr>
                            <a:picLocks noChangeArrowheads="1" noChangeAspect="1"/>
                          </pic:cNvPicPr>
                        </pic:nvPicPr>
                        <pic:blipFill>
                          <a:blip r:embed="rId40"/>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utilized for training and prediction of the Neural Network model, whereas lower-resolution flights (pixel size: 80 mm) were solely employed for prediction purposes. Validation has been performed on both high and low resolution flights.</w:t>
            </w:r>
          </w:p>
          <w:bookmarkEnd w:id="43"/>
        </w:tc>
      </w:tr>
    </w:tbl>
    <w:bookmarkEnd w:id="44"/>
    <w:bookmarkStart w:id="51" w:name="training-dataset-building"/>
    <w:p>
      <w:pPr>
        <w:pStyle w:val="Heading3"/>
      </w:pPr>
      <w:r>
        <w:t xml:space="preserve">2.4.1 Training dataset building</w:t>
      </w:r>
    </w:p>
    <w:tbl>
      <w:tblPr>
        <w:tblStyle w:val="Table"/>
        <w:tblW w:type="pct" w:w="5000"/>
        <w:tblLook w:firstRow="0" w:lastRow="0" w:firstColumn="0" w:lastColumn="0" w:noHBand="0" w:noVBand="0" w:val="0000"/>
        <w:jc w:val="start"/>
        <w:tblLayout w:type="fixed"/>
      </w:tblPr>
      <w:tblGrid>
        <w:gridCol w:w="7920"/>
      </w:tblGrid>
      <w:tr>
        <w:tc>
          <w:tcPr/>
          <w:bookmarkStart w:id="48" w:name="tbl-validationPX"/>
          <w:p>
            <w:pPr>
              <w:jc w:val="center"/>
            </w:pPr>
            <w:pPr>
              <w:jc w:val="start"/>
              <w:spacing w:before="200"/>
              <w:pStyle w:val="ImageCaption"/>
            </w:pPr>
            <w:r>
              <w:t xml:space="preserve">Table 2: Vegetation Classes of the model and the number of pixels used to train and validate each class</w:t>
            </w:r>
          </w:p>
          <w:p>
            <w:pPr>
              <w:jc w:val="center"/>
            </w:pPr>
            <w:r>
              <w:drawing>
                <wp:inline>
                  <wp:extent cx="5334000" cy="1463499"/>
                  <wp:effectExtent b="0" l="0" r="0" t="0"/>
                  <wp:docPr descr="" title="" id="46" name="Picture"/>
                  <a:graphic>
                    <a:graphicData uri="http://schemas.openxmlformats.org/drawingml/2006/picture">
                      <pic:pic>
                        <pic:nvPicPr>
                          <pic:cNvPr descr="Figures/High_res/table_validation_px.png" id="47" name="Picture"/>
                          <pic:cNvPicPr>
                            <a:picLocks noChangeArrowheads="1" noChangeAspect="1"/>
                          </pic:cNvPicPr>
                        </pic:nvPicPr>
                        <pic:blipFill>
                          <a:blip r:embed="rId45"/>
                          <a:stretch>
                            <a:fillRect/>
                          </a:stretch>
                        </pic:blipFill>
                        <pic:spPr bwMode="auto">
                          <a:xfrm>
                            <a:off x="0" y="0"/>
                            <a:ext cx="5334000" cy="1463499"/>
                          </a:xfrm>
                          <a:prstGeom prst="rect">
                            <a:avLst/>
                          </a:prstGeom>
                          <a:noFill/>
                          <a:ln w="9525">
                            <a:noFill/>
                            <a:headEnd/>
                            <a:tailEnd/>
                          </a:ln>
                        </pic:spPr>
                      </pic:pic>
                    </a:graphicData>
                  </a:graphic>
                </wp:inline>
              </w:drawing>
            </w:r>
          </w:p>
          <w:bookmarkEnd w:id="48"/>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Chlorophyceae, Magnoliopsida, Bacillariophyceae, Phaeophyceae and Rhodophyceae. Only low-altitude flights (</w:t>
      </w:r>
      <w:hyperlink w:anchor="tbl-flights">
        <w:r>
          <w:rPr>
            <w:rStyle w:val="Hyperlink"/>
          </w:rPr>
          <w:t xml:space="preserve">Table 1</w:t>
        </w:r>
      </w:hyperlink>
      <w:r>
        <w:t xml:space="preserve">) were used for training because their 8 mm spatial resolution allowed to avoid spectral sub-pixel mixing and to accurately identify vegetation classes. More than 418,000 pixels at 8 mm resolution from the 3 training flights were used to train the model (</w:t>
      </w:r>
      <w:hyperlink w:anchor="tbl-validationPX">
        <w:r>
          <w:rPr>
            <w:rStyle w:val="Hyperlink"/>
          </w:rPr>
          <w:t xml:space="preserve">Table 2</w:t>
        </w:r>
      </w:hyperlink>
      <w:r>
        <w:t xml:space="preserve">). Twenty one variables were used by the model as predictors: the ten raw spectral bands of the Micasense RedEdge Dual MX multispectral camera (ranging from 444 nm to 840 nm), the same ten spectral bands standardized using a min/max transformation (</w:t>
      </w:r>
      <w:hyperlink w:anchor="eq-std">
        <w:r>
          <w:rPr>
            <w:rStyle w:val="Hyperlink"/>
          </w:rPr>
          <w:t xml:space="preserve">Equation 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2</w:t>
        </w:r>
      </w:hyperlink>
      <w:r>
        <w:t xml:space="preserve">). Standardisation of spectral bands is commonly used to eliminate the scaling differences between spectra and to limit the effect of biomass on the spectra shape</w:t>
      </w:r>
      <w:r>
        <w:t xml:space="preserve"> </w:t>
      </w:r>
      <w:r>
        <w:t xml:space="preserve">(Douay et al., 2022 ; Davies et al., 2023a)</w:t>
      </w:r>
      <w:r>
        <w:t xml:space="preserve">.</w:t>
      </w:r>
    </w:p>
    <w:p>
      <w:pPr>
        <w:pStyle w:val="BodyText"/>
      </w:pPr>
      <w:bookmarkStart w:id="4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4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5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5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51"/>
    <w:bookmarkStart w:id="52" w:name="model-building"/>
    <w:p>
      <w:pPr>
        <w:pStyle w:val="Heading3"/>
      </w:pPr>
      <w:r>
        <w:t xml:space="preserve">2.4.2 Model building</w:t>
      </w:r>
    </w:p>
    <w:p>
      <w:pPr>
        <w:pStyle w:val="FirstParagraph"/>
      </w:pPr>
      <w:r>
        <w:t xml:space="preserve">A neural network classification model was built using the fastai workflow</w:t>
      </w:r>
      <w:r>
        <w:t xml:space="preserve"> </w:t>
      </w:r>
      <w:r>
        <w:t xml:space="preserve">(Howard et al., 2018)</w:t>
      </w:r>
      <w:r>
        <w:t xml:space="preserve">. This model is composed by 2 hidden layers and have a total of 26 054 trainable parameters. Parameters have been fine tuned using 12 epoch to minimize the error rate.</w:t>
      </w:r>
    </w:p>
    <w:bookmarkEnd w:id="52"/>
    <w:bookmarkStart w:id="53" w:name="validation"/>
    <w:p>
      <w:pPr>
        <w:pStyle w:val="Heading3"/>
      </w:pPr>
      <w:r>
        <w:t xml:space="preserve">2.4.3 Validation</w:t>
      </w:r>
    </w:p>
    <w:p>
      <w:pPr>
        <w:pStyle w:val="FirstParagraph"/>
      </w:pPr>
      <w:r>
        <w:t xml:space="preserve">The workflow of this study revolves around two distinct flight heights (12 m and 120 m,</w:t>
      </w:r>
      <w:r>
        <w:t xml:space="preserve"> </w:t>
      </w:r>
      <w:hyperlink w:anchor="fig-workflow">
        <w:r>
          <w:rPr>
            <w:rStyle w:val="Hyperlink"/>
          </w:rPr>
          <w:t xml:space="preserve">Figure 3</w:t>
        </w:r>
      </w:hyperlink>
      <w:r>
        <w:t xml:space="preserve">) where ensuring consistency between reflectances at both heights is crucial. This comparison was conducted at sites where low and high altitude flights overlapped. The low altitude flights were resampled to the same spatial resolution and grid as the high flights using a median resampling method. Reflectance values were then extracted, and a scatterplot was generated. Subsequently, the slope of the linear model and the coefficient of determination (R²) were computed.</w:t>
      </w:r>
    </w:p>
    <w:p>
      <w:pPr>
        <w:pStyle w:val="BodyText"/>
      </w:pPr>
      <w:r>
        <w:t xml:space="preserve">The model was applied to all flights at both 12 and 120 m of altitude.</w:t>
      </w:r>
      <w:r>
        <w:t xml:space="preserve"> </w:t>
      </w:r>
      <w:r>
        <w:rPr>
          <w:iCs/>
          <w:i/>
        </w:rPr>
        <w:t xml:space="preserve">In situ</w:t>
      </w:r>
      <w:r>
        <w:t xml:space="preserve"> </w:t>
      </w:r>
      <w:r>
        <w:t xml:space="preserve">information on georeferenced class type and percent cover, acquired at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and Kappa coefficient, was generated for each sites. All validation matrices were then aggregated to create an overall matrix .</w:t>
      </w:r>
    </w:p>
    <w:bookmarkEnd w:id="53"/>
    <w:bookmarkEnd w:id="54"/>
    <w:bookmarkStart w:id="55" w:name="variable-importance"/>
    <w:p>
      <w:pPr>
        <w:pStyle w:val="Heading2"/>
      </w:pPr>
      <w:r>
        <w:t xml:space="preserve">2.5 Variable Importance</w:t>
      </w:r>
    </w:p>
    <w:p>
      <w:pPr>
        <w:pStyle w:val="FirstParagraph"/>
      </w:pPr>
      <w:r>
        <w:t xml:space="preserve">Variable Importance Plots (VIP) serve as a method to identify which predictors are important for predicting a specific class. Out of the twenty one predictors utilized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55"/>
    <w:bookmarkStart w:id="57" w:name="Xccbe959c29e7dc4ae9dab7c6e8ca2f1d2e97711"/>
    <w:p>
      <w:pPr>
        <w:pStyle w:val="Heading2"/>
      </w:pPr>
      <w:r>
        <w:t xml:space="preserve">2.6 Impact of the spatial resolution in the prediction</w:t>
      </w:r>
    </w:p>
    <w:p>
      <w:pPr>
        <w:pStyle w:val="FirstParagraph"/>
      </w:pPr>
      <w:r>
        <w:t xml:space="preserve">To assess the impact of spatial resolution on the model’s output, the reflectance of each flight’s orthomosaic was spatially resampled using the average method from the Terra package in R. DISCOV was then applied to these resampled rasters. The results were compared to the original model predictions, which were resampled using the mode method from the Terra package in R. For each resolution and each class of the model, an agreement percentage was obtained, where a score of 100 indicates that all pixels in the two products are identical, and a score of 0 indicates that all pixels are different.</w:t>
      </w:r>
    </w:p>
    <w:p>
      <w:pPr>
        <w:pStyle w:val="BodyText"/>
      </w:pPr>
      <w:r>
        <w:t xml:space="preserve">We used a Generalized Linear Model (GLM) with a Gaussian family and an identity link function to investigate the relationship between pixel resolution, vegetation class, and their interaction on the response variable, the agreement. The formula for the model was:</w:t>
      </w:r>
    </w:p>
    <w:p>
      <w:pPr>
        <w:pStyle w:val="BodyText"/>
      </w:pPr>
      <w:bookmarkStart w:id="56" w:name="eq-gam"/>
      <m:oMathPara>
        <m:oMathParaPr>
          <m:jc m:val="center"/>
        </m:oMathParaPr>
        <m:oMath>
          <m:r>
            <m:t>A</m:t>
          </m:r>
          <m:r>
            <m:t>g</m:t>
          </m:r>
          <m:r>
            <m:t>r</m:t>
          </m:r>
          <m:r>
            <m:t>e</m:t>
          </m:r>
          <m:r>
            <m:t>e</m:t>
          </m:r>
          <m:r>
            <m:t>m</m:t>
          </m:r>
          <m:r>
            <m:t>e</m:t>
          </m:r>
          <m:r>
            <m:t>n</m:t>
          </m:r>
          <m:r>
            <m:t>t</m:t>
          </m:r>
          <m:r>
            <m:rPr>
              <m:sty m:val="p"/>
            </m:rPr>
            <m:t>∼</m:t>
          </m:r>
          <m:r>
            <m:t>R</m:t>
          </m:r>
          <m:r>
            <m:t>e</m:t>
          </m:r>
          <m:r>
            <m:t>s</m:t>
          </m:r>
          <m:r>
            <m:t>o</m:t>
          </m:r>
          <m:r>
            <m:t>l</m:t>
          </m:r>
          <m:r>
            <m:t>u</m:t>
          </m:r>
          <m:r>
            <m:t>t</m:t>
          </m:r>
          <m:r>
            <m:t>i</m:t>
          </m:r>
          <m:r>
            <m:t>o</m:t>
          </m:r>
          <m:r>
            <m:t>n</m:t>
          </m:r>
          <m:r>
            <m:rPr>
              <m:sty m:val="p"/>
            </m:rPr>
            <m:t>×</m:t>
          </m:r>
          <m:r>
            <m:t>V</m:t>
          </m:r>
          <m:r>
            <m:t>e</m:t>
          </m:r>
          <m:r>
            <m:t>g</m:t>
          </m:r>
          <m:r>
            <m:t>e</m:t>
          </m:r>
          <m:r>
            <m:t>t</m:t>
          </m:r>
          <m:r>
            <m:t>a</m:t>
          </m:r>
          <m:r>
            <m:t>t</m:t>
          </m:r>
          <m:r>
            <m:t>i</m:t>
          </m:r>
          <m:r>
            <m:t>o</m:t>
          </m:r>
          <m:r>
            <m:t>n</m:t>
          </m:r>
          <m:r>
            <m:t>C</m:t>
          </m:r>
          <m:r>
            <m:t>l</m:t>
          </m:r>
          <m:r>
            <m:t>a</m:t>
          </m:r>
          <m:r>
            <m:t>s</m:t>
          </m:r>
          <m:r>
            <m:t>s</m:t>
          </m:r>
          <m:r>
            <m:t>  </m:t>
          </m:r>
          <m:d>
            <m:dPr>
              <m:begChr m:val="("/>
              <m:endChr m:val=")"/>
              <m:sepChr m:val=""/>
              <m:grow/>
            </m:dPr>
            <m:e>
              <m:r>
                <m:t>3</m:t>
              </m:r>
            </m:e>
          </m:d>
        </m:oMath>
      </m:oMathPara>
      <w:bookmarkEnd w:id="56"/>
    </w:p>
    <w:bookmarkEnd w:id="57"/>
    <w:bookmarkStart w:id="58" w:name="Xb80c26d4e7d26e390b07274c04fd63576f6b171"/>
    <w:p>
      <w:pPr>
        <w:pStyle w:val="Heading2"/>
      </w:pPr>
      <w:r>
        <w:t xml:space="preserve">2.7 Impact of mixed vegetation cover on the prediction</w:t>
      </w:r>
    </w:p>
    <w:p>
      <w:pPr>
        <w:pStyle w:val="FirstParagraph"/>
      </w:pPr>
      <w:r>
        <w:t xml:space="preserve">The key aspect of the workflow adopted in the present study is the mapping at two different altitudes (12 m and 120 m), resulting in two distinct resolutions for the same area (8 mm and 80 mm).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behavior in mixed vegetation scenarios. It helps to understand the minimum vegetation cover of a given class within a pixel necessary for the model to confidently predict that class.</w:t>
      </w:r>
    </w:p>
    <w:bookmarkEnd w:id="58"/>
    <w:bookmarkEnd w:id="59"/>
    <w:bookmarkStart w:id="111" w:name="results"/>
    <w:p>
      <w:pPr>
        <w:pStyle w:val="Heading1"/>
      </w:pPr>
      <w:r>
        <w:t xml:space="preserve">3. Results</w:t>
      </w:r>
    </w:p>
    <w:bookmarkStart w:id="65" w:name="Xf1ee785dcb5d546ca07f6c913dc8f3105a0e5cf"/>
    <w:p>
      <w:pPr>
        <w:pStyle w:val="Heading2"/>
      </w:pPr>
      <w:r>
        <w:t xml:space="preserve">3.1 Reflectance comparison between the two different altitudes</w:t>
      </w:r>
    </w:p>
    <w:p>
      <w:pPr>
        <w:pStyle w:val="FirstParagraph"/>
      </w:pPr>
      <w:r>
        <w:t xml:space="preserve">In this study, drone flights were conducted at two different altitudes (12 m and 120 m) to construct the neural network model. At the sites where the flights at both altitudes overlapped, reflectance was compared. Overall there was a good agreement between the two altitudes (RMSE: 0.027 ;</w:t>
      </w:r>
      <w:r>
        <w:t xml:space="preserve"> </w:t>
      </w:r>
      <w:hyperlink w:anchor="fig-CompareRef">
        <w:r>
          <w:rPr>
            <w:rStyle w:val="Hyperlink"/>
          </w:rPr>
          <w:t xml:space="preserve">Figure 4</w:t>
        </w:r>
      </w:hyperlink>
      <w:r>
        <w:t xml:space="preserve">).</w:t>
      </w:r>
    </w:p>
    <w:bookmarkStart w:id="64" w:name="cell-fig-CompareRef"/>
    <w:tbl>
      <w:tblPr>
        <w:tblStyle w:val="Table"/>
        <w:tblW w:type="pct" w:w="5000"/>
        <w:tblLook w:firstRow="0" w:lastRow="0" w:firstColumn="0" w:lastColumn="0" w:noHBand="0" w:noVBand="0" w:val="0000"/>
        <w:jc w:val="start"/>
        <w:tblLayout w:type="fixed"/>
      </w:tblPr>
      <w:tblGrid>
        <w:gridCol w:w="7920"/>
      </w:tblGrid>
      <w:tr>
        <w:tc>
          <w:tcPr/>
          <w:bookmarkStart w:id="63" w:name="fig-CompareRef"/>
          <w:p>
            <w:pPr>
              <w:pStyle w:val="Compact"/>
              <w:jc w:val="center"/>
            </w:pPr>
            <w:r>
              <w:drawing>
                <wp:inline>
                  <wp:extent cx="5334000" cy="2290564"/>
                  <wp:effectExtent b="0" l="0" r="0" t="0"/>
                  <wp:docPr descr="" title="" id="61" name="Picture"/>
                  <a:graphic>
                    <a:graphicData uri="http://schemas.openxmlformats.org/drawingml/2006/picture">
                      <pic:pic>
                        <pic:nvPicPr>
                          <pic:cNvPr descr="./Figures/High_res/Compare_reflectance_both.png" id="62" name="Picture"/>
                          <pic:cNvPicPr>
                            <a:picLocks noChangeArrowheads="1" noChangeAspect="1"/>
                          </pic:cNvPicPr>
                        </pic:nvPicPr>
                        <pic:blipFill>
                          <a:blip r:embed="rId60"/>
                          <a:stretch>
                            <a:fillRect/>
                          </a:stretch>
                        </pic:blipFill>
                        <pic:spPr bwMode="auto">
                          <a:xfrm>
                            <a:off x="0" y="0"/>
                            <a:ext cx="5334000" cy="22905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Comparison of reflectance retrieved from both low-altitude and high-altitude flights over a common area. The black dashed line represents a 1 to 1 relationship. Left (A) plots raw data and right (B) plots standardized data (</w:t>
            </w:r>
            <w:hyperlink w:anchor="eq-std">
              <w:r>
                <w:rPr>
                  <w:rStyle w:val="Hyperlink"/>
                </w:rPr>
                <w:t xml:space="preserve">Equation 1</w:t>
              </w:r>
            </w:hyperlink>
            <w:r>
              <w:t xml:space="preserve">).</w:t>
            </w:r>
          </w:p>
          <w:bookmarkEnd w:id="63"/>
        </w:tc>
      </w:tr>
    </w:tbl>
    <w:bookmarkEnd w:id="64"/>
    <w:p>
      <w:pPr>
        <w:pStyle w:val="BodyText"/>
      </w:pPr>
      <w:r>
        <w:t xml:space="preserve">There was a slight underestimation for raw reflectance values in the high-altitude flight, particularly for higher reflectance values (</w:t>
      </w:r>
      <w:hyperlink w:anchor="fig-CompareRef">
        <w:r>
          <w:rPr>
            <w:rStyle w:val="Hyperlink"/>
          </w:rPr>
          <w:t xml:space="preserve">Figure 4</w:t>
        </w:r>
      </w:hyperlink>
      <w:r>
        <w:t xml:space="preserve"> </w:t>
      </w:r>
      <w:r>
        <w:t xml:space="preserve">A). Since both flights were conducted over vegetation areas, the highest reflectance values correspond to the infrared part of the spectrum. This difference was not present when reflectance values have been standardized (</w:t>
      </w:r>
      <w:hyperlink w:anchor="eq-std">
        <w:r>
          <w:rPr>
            <w:rStyle w:val="Hyperlink"/>
          </w:rPr>
          <w:t xml:space="preserve">Equation 1</w:t>
        </w:r>
      </w:hyperlink>
      <w:r>
        <w:t xml:space="preserve"> </w:t>
      </w:r>
      <w:r>
        <w:t xml:space="preserve">;</w:t>
      </w:r>
      <w:r>
        <w:t xml:space="preserve"> </w:t>
      </w:r>
      <w:hyperlink w:anchor="fig-CompareRef">
        <w:r>
          <w:rPr>
            <w:rStyle w:val="Hyperlink"/>
          </w:rPr>
          <w:t xml:space="preserve">Figure 4</w:t>
        </w:r>
      </w:hyperlink>
      <w:r>
        <w:t xml:space="preserve"> </w:t>
      </w:r>
      <w:r>
        <w:t xml:space="preserve">B).</w:t>
      </w:r>
    </w:p>
    <w:bookmarkEnd w:id="65"/>
    <w:bookmarkStart w:id="86" w:name="classification"/>
    <w:p>
      <w:pPr>
        <w:pStyle w:val="Heading2"/>
      </w:pPr>
      <w:r>
        <w:t xml:space="preserve">3.2 Classification</w:t>
      </w:r>
    </w:p>
    <w:p>
      <w:pPr>
        <w:pStyle w:val="FirstParagraph"/>
      </w:pPr>
      <w:r>
        <w:t xml:space="preserve">Each drone flight was used to produce a prediction map, as well as a probability map that indicate the model derived likelihood of the selected class for every pixel. The low-altitude flight conducted in Gafanha, Portugal, represented the site with the highest complexity (</w:t>
      </w:r>
      <w:hyperlink w:anchor="fig-GafLow">
        <w:r>
          <w:rPr>
            <w:rStyle w:val="Hyperlink"/>
          </w:rPr>
          <w:t xml:space="preserve">Figure 5</w:t>
        </w:r>
      </w:hyperlink>
      <w:r>
        <w:t xml:space="preserve">). Among the five vegetation classes on which the model was trained, four were present on this site, with green an red macroalgae mixed with a seagrass meadow. There was also diatoms forming biofilms on bare sediment surface. Although the seagrass was solely composed of a single specie,</w:t>
      </w:r>
      <w:r>
        <w:t xml:space="preserve"> </w:t>
      </w:r>
      <w:r>
        <w:rPr>
          <w:iCs/>
          <w:i/>
        </w:rPr>
        <w:t xml:space="preserve">Nanozostera noltei</w:t>
      </w:r>
      <w:r>
        <w:t xml:space="preserve">, various colors of this specie could be observed from dark green (corresponding to healthy leaves) to brown (when leaves are senescent or have an altered pigment composition). Regardless of the variation of color, the class Magnoliopsida was accurately predicted by the model (F1 score of 0.96 at that site).</w:t>
      </w:r>
    </w:p>
    <w:bookmarkStart w:id="70" w:name="cell-fig-GafLow"/>
    <w:tbl>
      <w:tblPr>
        <w:tblStyle w:val="Table"/>
        <w:tblW w:type="pct" w:w="5000"/>
        <w:tblLook w:firstRow="0" w:lastRow="0" w:firstColumn="0" w:lastColumn="0" w:noHBand="0" w:noVBand="0" w:val="0000"/>
        <w:jc w:val="start"/>
        <w:tblLayout w:type="fixed"/>
      </w:tblPr>
      <w:tblGrid>
        <w:gridCol w:w="7920"/>
      </w:tblGrid>
      <w:tr>
        <w:tc>
          <w:tcPr/>
          <w:bookmarkStart w:id="69" w:name="fig-GafLow"/>
          <w:p>
            <w:pPr>
              <w:pStyle w:val="Compact"/>
              <w:jc w:val="center"/>
            </w:pPr>
            <w:r>
              <w:drawing>
                <wp:inline>
                  <wp:extent cx="5334000" cy="2803128"/>
                  <wp:effectExtent b="0" l="0" r="0" t="0"/>
                  <wp:docPr descr="" title="" id="67" name="Picture"/>
                  <a:graphic>
                    <a:graphicData uri="http://schemas.openxmlformats.org/drawingml/2006/picture">
                      <pic:pic>
                        <pic:nvPicPr>
                          <pic:cNvPr descr="./Figures/Low_res/Maps%20Pred/FigX-Gaf_Low_Pred.png" id="68" name="Picture"/>
                          <pic:cNvPicPr>
                            <a:picLocks noChangeArrowheads="1" noChangeAspect="1"/>
                          </pic:cNvPicPr>
                        </pic:nvPicPr>
                        <pic:blipFill>
                          <a:blip r:embed="rId66"/>
                          <a:stretch>
                            <a:fillRect/>
                          </a:stretch>
                        </pic:blipFill>
                        <pic:spPr bwMode="auto">
                          <a:xfrm>
                            <a:off x="0" y="0"/>
                            <a:ext cx="5334000" cy="28031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low altitude flight of Gafanha, Portugal. The total extent of this flight was 3000 m² with a resolution of 8 mm per pixel. Background colors indicate intertidal area (Light Green) and land area (Light Grey). The zoom covers an area equivalent to a 10-meter Sentinel-2 pixel size.</w:t>
            </w:r>
          </w:p>
          <w:bookmarkEnd w:id="69"/>
        </w:tc>
      </w:tr>
    </w:tbl>
    <w:bookmarkEnd w:id="70"/>
    <w:p>
      <w:pPr>
        <w:pStyle w:val="BodyText"/>
      </w:pPr>
      <w:r>
        <w:t xml:space="preserve">The high-altitude flight over Gafanha covered a total area of ~1 km² (</w:t>
      </w:r>
      <w:hyperlink w:anchor="fig-GafHigh">
        <w:r>
          <w:rPr>
            <w:rStyle w:val="Hyperlink"/>
          </w:rPr>
          <w:t xml:space="preserve">Figure 6</w:t>
        </w:r>
      </w:hyperlink>
      <w:r>
        <w:t xml:space="preserve">). A channel contouring a small island was masked in the prediction map. Most of vegetation area was classified as seagrass by the model, including patches with discolored leaves. Only a few pixels were classified as green algae (F1 score of 0.55). Patches of Rhodophyceae were correctly classified (F1 score of 0.85). In the northern part of the site and near the land eadges, patches of the schorre angiosperm</w:t>
      </w:r>
      <w:r>
        <w:t xml:space="preserve"> </w:t>
      </w:r>
      <w:r>
        <w:rPr>
          <w:iCs/>
          <w:i/>
        </w:rPr>
        <w:t xml:space="preserve">Sporobolus maritimus</w:t>
      </w:r>
      <w:r>
        <w:t xml:space="preserve"> </w:t>
      </w:r>
      <w:r>
        <w:t xml:space="preserve">(syn.</w:t>
      </w:r>
      <w:r>
        <w:t xml:space="preserve"> </w:t>
      </w:r>
      <w:r>
        <w:rPr>
          <w:iCs/>
          <w:i/>
        </w:rPr>
        <w:t xml:space="preserve">Spartina maritima)</w:t>
      </w:r>
      <w:r>
        <w:t xml:space="preserve"> </w:t>
      </w:r>
      <w:r>
        <w:t xml:space="preserve">were misclassified, either as seagrass or as brown algae (F1 score of 0.77 and 0.71, respectively).</w:t>
      </w:r>
    </w:p>
    <w:bookmarkStart w:id="75" w:name="cell-fig-GafHigh"/>
    <w:tbl>
      <w:tblPr>
        <w:tblStyle w:val="Table"/>
        <w:tblW w:type="pct" w:w="5000"/>
        <w:tblLook w:firstRow="0" w:lastRow="0" w:firstColumn="0" w:lastColumn="0" w:noHBand="0" w:noVBand="0" w:val="0000"/>
        <w:jc w:val="start"/>
        <w:tblLayout w:type="fixed"/>
      </w:tblPr>
      <w:tblGrid>
        <w:gridCol w:w="7920"/>
      </w:tblGrid>
      <w:tr>
        <w:tc>
          <w:tcPr/>
          <w:bookmarkStart w:id="74" w:name="fig-GafHigh"/>
          <w:p>
            <w:pPr>
              <w:pStyle w:val="Compact"/>
              <w:jc w:val="center"/>
            </w:pPr>
            <w:r>
              <w:drawing>
                <wp:inline>
                  <wp:extent cx="3899197" cy="3333431"/>
                  <wp:effectExtent b="0" l="0" r="0" t="0"/>
                  <wp:docPr descr="" title="" id="72" name="Picture"/>
                  <a:graphic>
                    <a:graphicData uri="http://schemas.openxmlformats.org/drawingml/2006/picture">
                      <pic:pic>
                        <pic:nvPicPr>
                          <pic:cNvPr descr="./Figures/Low_res/Maps%20Pred/FigX-Gaf_High_Pred.png" id="73" name="Picture"/>
                          <pic:cNvPicPr>
                            <a:picLocks noChangeArrowheads="1" noChangeAspect="1"/>
                          </pic:cNvPicPr>
                        </pic:nvPicPr>
                        <pic:blipFill>
                          <a:blip r:embed="rId71"/>
                          <a:stretch>
                            <a:fillRect/>
                          </a:stretch>
                        </pic:blipFill>
                        <pic:spPr bwMode="auto">
                          <a:xfrm>
                            <a:off x="0" y="0"/>
                            <a:ext cx="3899197" cy="33334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(Left) and Prediction (Right) of the high altitude flight of Gafanha, Portugal. The total extent of this flight was about 1 km² with a resolution of 80 mm per pixel. Background colors indicate intertidal area (Light Green), land area (Light Grey) and water (Light Blue). The yellow outline shows the extent of the low altitude flight of Gafanha presented in</w:t>
            </w:r>
            <w:r>
              <w:t xml:space="preserve"> </w:t>
            </w:r>
            <w:hyperlink w:anchor="fig-GafLow">
              <w:r>
                <w:rPr>
                  <w:rStyle w:val="Hyperlink"/>
                </w:rPr>
                <w:t xml:space="preserve">Figure 5</w:t>
              </w:r>
            </w:hyperlink>
            <w:r>
              <w:t xml:space="preserve">. The zoom covers an area equivalent to a 10-meter Sentinel-2 pixel size.</w:t>
            </w:r>
          </w:p>
          <w:bookmarkEnd w:id="74"/>
        </w:tc>
      </w:tr>
    </w:tbl>
    <w:bookmarkEnd w:id="75"/>
    <w:p>
      <w:pPr>
        <w:pStyle w:val="BodyText"/>
      </w:pPr>
      <w:r>
        <w:t xml:space="preserve">Amoung the high altitude flights, the one acquired over the inner part of Ria de Aveiro coastal lagoon covered the largest area with approximately 1.5 km² (</w:t>
      </w:r>
      <w:hyperlink w:anchor="fig-Boat">
        <w:r>
          <w:rPr>
            <w:rStyle w:val="Hyperlink"/>
          </w:rPr>
          <w:t xml:space="preserve">Figure 7</w:t>
        </w:r>
      </w:hyperlink>
      <w:r>
        <w:t xml:space="preserve">). This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7</w:t>
        </w:r>
      </w:hyperlink>
      <w:r>
        <w:t xml:space="preserve">), the edges of the meadow were mixed with green macroalgae (</w:t>
      </w:r>
      <w:r>
        <w:rPr>
          <w:iCs/>
          <w:i/>
        </w:rPr>
        <w:t xml:space="preserve">Ulva sp.</w:t>
      </w:r>
      <w:r>
        <w:t xml:space="preserve">), which the model agreed with (F1 score of 0.89 for green algae, 0.97 for seagrass and 0.98 for red algae).</w:t>
      </w:r>
    </w:p>
    <w:bookmarkStart w:id="80" w:name="cell-fig-Boat"/>
    <w:tbl>
      <w:tblPr>
        <w:tblStyle w:val="Table"/>
        <w:tblW w:type="pct" w:w="5000"/>
        <w:tblLook w:firstRow="0" w:lastRow="0" w:firstColumn="0" w:lastColumn="0" w:noHBand="0" w:noVBand="0" w:val="0000"/>
        <w:jc w:val="start"/>
        <w:tblLayout w:type="fixed"/>
      </w:tblPr>
      <w:tblGrid>
        <w:gridCol w:w="7920"/>
      </w:tblGrid>
      <w:tr>
        <w:tc>
          <w:tcPr/>
          <w:bookmarkStart w:id="79" w:name="fig-Boat"/>
          <w:p>
            <w:pPr>
              <w:pStyle w:val="Compact"/>
              <w:jc w:val="center"/>
            </w:pPr>
            <w:r>
              <w:drawing>
                <wp:inline>
                  <wp:extent cx="2587232" cy="3425177"/>
                  <wp:effectExtent b="0" l="0" r="0" t="0"/>
                  <wp:docPr descr="" title="" id="77" name="Picture"/>
                  <a:graphic>
                    <a:graphicData uri="http://schemas.openxmlformats.org/drawingml/2006/picture">
                      <pic:pic>
                        <pic:nvPicPr>
                          <pic:cNvPr descr="./Figures/Low_res/Maps%20Pred/FigX-Boat_Pred.png" id="78" name="Picture"/>
                          <pic:cNvPicPr>
                            <a:picLocks noChangeArrowheads="1" noChangeAspect="1"/>
                          </pic:cNvPicPr>
                        </pic:nvPicPr>
                        <pic:blipFill>
                          <a:blip r:embed="rId76"/>
                          <a:stretch>
                            <a:fillRect/>
                          </a:stretch>
                        </pic:blipFill>
                        <pic:spPr bwMode="auto">
                          <a:xfrm>
                            <a:off x="0" y="0"/>
                            <a:ext cx="2587232" cy="34251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the flight made in the inner part of Ria de Aveiro Lagoon, Portugal. The total extent of this flight was about 1.5 km² with a resolution of 80 mm per pixel. Background colors indicate intertidal area (Light Green), land area (Light Grey) and water (Light Blue). Each cover an area equivalent to a 10 m Sentinel-2 pixel size.</w:t>
            </w:r>
          </w:p>
          <w:bookmarkEnd w:id="79"/>
        </w:tc>
      </w:tr>
    </w:tbl>
    <w:bookmarkEnd w:id="80"/>
    <w:p>
      <w:pPr>
        <w:pStyle w:val="BodyText"/>
      </w:pPr>
      <w:r>
        <w:t xml:space="preserve">The flight over L’Epine in Noirmoutier Island, France (</w:t>
      </w:r>
      <w:hyperlink w:anchor="fig-Dike">
        <w:r>
          <w:rPr>
            <w:rStyle w:val="Hyperlink"/>
          </w:rPr>
          <w:t xml:space="preserve">Figure 8</w:t>
        </w:r>
      </w:hyperlink>
      <w:r>
        <w:t xml:space="preserve"> </w:t>
      </w:r>
      <w:r>
        <w:t xml:space="preserve">A) was conducted near a dike, which crossed the northern part of the site from West to East. Alongside this dike, Fucale brown macroalgae (</w:t>
      </w:r>
      <w:r>
        <w:rPr>
          <w:iCs/>
          <w:i/>
        </w:rPr>
        <w:t xml:space="preserve">Fucus spp.</w:t>
      </w:r>
      <w:r>
        <w:t xml:space="preserve">,</w:t>
      </w:r>
      <w:r>
        <w:t xml:space="preserve"> </w:t>
      </w:r>
      <w:r>
        <w:rPr>
          <w:iCs/>
          <w:i/>
        </w:rPr>
        <w:t xml:space="preserve">Ascophyllum nodosum</w:t>
      </w:r>
      <w:r>
        <w:t xml:space="preserve">) were attached to sparse rocks and stranded green algae (</w:t>
      </w:r>
      <w:r>
        <w:rPr>
          <w:iCs/>
          <w:i/>
        </w:rPr>
        <w:t xml:space="preserve">Ulva spp.</w:t>
      </w:r>
      <w:r>
        <w:t xml:space="preserve">) could be observed and this was correctly reproduced by the prediction (</w:t>
      </w:r>
      <w:hyperlink w:anchor="fig-Dike">
        <w:r>
          <w:rPr>
            <w:rStyle w:val="Hyperlink"/>
          </w:rPr>
          <w:t xml:space="preserve">Figure 8</w:t>
        </w:r>
      </w:hyperlink>
      <w:r>
        <w:t xml:space="preserve"> </w:t>
      </w:r>
      <w:r>
        <w:t xml:space="preserve">B). This site was characterized by a high mixture between green macroalgae and seagrass but these two classes were correctly discriminated by the classifier (F1 score of 0.97 and 0.98 respectively).</w:t>
      </w:r>
    </w:p>
    <w:bookmarkStart w:id="85" w:name="cell-fig-Dike"/>
    <w:tbl>
      <w:tblPr>
        <w:tblStyle w:val="Table"/>
        <w:tblW w:type="pct" w:w="5000"/>
        <w:tblLook w:firstRow="0" w:lastRow="0" w:firstColumn="0" w:lastColumn="0" w:noHBand="0" w:noVBand="0" w:val="0000"/>
        <w:jc w:val="start"/>
        <w:tblLayout w:type="fixed"/>
      </w:tblPr>
      <w:tblGrid>
        <w:gridCol w:w="7920"/>
      </w:tblGrid>
      <w:tr>
        <w:tc>
          <w:tcPr/>
          <w:bookmarkStart w:id="84" w:name="fig-Dike"/>
          <w:p>
            <w:pPr>
              <w:pStyle w:val="Compact"/>
              <w:jc w:val="center"/>
            </w:pPr>
            <w:r>
              <w:drawing>
                <wp:inline>
                  <wp:extent cx="3293674" cy="2752374"/>
                  <wp:effectExtent b="0" l="0" r="0" t="0"/>
                  <wp:docPr descr="" title="" id="82" name="Picture"/>
                  <a:graphic>
                    <a:graphicData uri="http://schemas.openxmlformats.org/drawingml/2006/picture">
                      <pic:pic>
                        <pic:nvPicPr>
                          <pic:cNvPr descr="./Figures/Low_res/Maps%20Pred/FigX-Dike_Pred.png" id="83" name="Picture"/>
                          <pic:cNvPicPr>
                            <a:picLocks noChangeArrowheads="1" noChangeAspect="1"/>
                          </pic:cNvPicPr>
                        </pic:nvPicPr>
                        <pic:blipFill>
                          <a:blip r:embed="rId81"/>
                          <a:stretch>
                            <a:fillRect/>
                          </a:stretch>
                        </pic:blipFill>
                        <pic:spPr bwMode="auto">
                          <a:xfrm>
                            <a:off x="0" y="0"/>
                            <a:ext cx="3293674" cy="27523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RGB orthomosaic (Top) and Prediction (Bottom) of L’Epine, France. The total extent of this flight was about 28 000 m² with a resolution of 80 mm per pixel. Background colors indicate intertidal area (Light Green) and land area (Light Grey). The zoom covers an area equivalent to a 10-meter Sentinel-2 pixel size.</w:t>
            </w:r>
          </w:p>
          <w:bookmarkEnd w:id="84"/>
        </w:tc>
      </w:tr>
    </w:tbl>
    <w:bookmarkEnd w:id="85"/>
    <w:bookmarkEnd w:id="86"/>
    <w:bookmarkStart w:id="92" w:name="validation-of-the-model"/>
    <w:p>
      <w:pPr>
        <w:pStyle w:val="Heading2"/>
      </w:pPr>
      <w:r>
        <w:t xml:space="preserve">3.3 Validation of the model</w:t>
      </w:r>
    </w:p>
    <w:p>
      <w:pPr>
        <w:pStyle w:val="FirstParagraph"/>
      </w:pPr>
      <w:r>
        <w:t xml:space="preserve">With all drone flights combined, the model global accuracy was 94.26% with a Kappa coefficient of 0.92 (</w:t>
      </w:r>
      <w:hyperlink w:anchor="fig-Validation">
        <w:r>
          <w:rPr>
            <w:rStyle w:val="Hyperlink"/>
          </w:rPr>
          <w:t xml:space="preserve">Figure 9</w:t>
        </w:r>
      </w:hyperlink>
      <w:r>
        <w:t xml:space="preserve">).</w:t>
      </w:r>
    </w:p>
    <w:bookmarkStart w:id="91" w:name="cell-fig-Validation"/>
    <w:tbl>
      <w:tblPr>
        <w:tblStyle w:val="Table"/>
        <w:tblW w:type="pct" w:w="5000"/>
        <w:tblLook w:firstRow="0" w:lastRow="0" w:firstColumn="0" w:lastColumn="0" w:noHBand="0" w:noVBand="0" w:val="0000"/>
        <w:jc w:val="start"/>
        <w:tblLayout w:type="fixed"/>
      </w:tblPr>
      <w:tblGrid>
        <w:gridCol w:w="7920"/>
      </w:tblGrid>
      <w:tr>
        <w:tc>
          <w:tcPr/>
          <w:bookmarkStart w:id="90" w:name="fig-Validation"/>
          <w:p>
            <w:pPr>
              <w:pStyle w:val="Compact"/>
              <w:jc w:val="center"/>
            </w:pPr>
            <w:r>
              <w:drawing>
                <wp:inline>
                  <wp:extent cx="4339577" cy="3003146"/>
                  <wp:effectExtent b="0" l="0" r="0" t="0"/>
                  <wp:docPr descr="" title="" id="88" name="Picture"/>
                  <a:graphic>
                    <a:graphicData uri="http://schemas.openxmlformats.org/drawingml/2006/picture">
                      <pic:pic>
                        <pic:nvPicPr>
                          <pic:cNvPr descr="./Figures/Low_res/Validation/ConfusionMatrixGlobal.png" id="89" name="Picture"/>
                          <pic:cNvPicPr>
                            <a:picLocks noChangeArrowheads="1" noChangeAspect="1"/>
                          </pic:cNvPicPr>
                        </pic:nvPicPr>
                        <pic:blipFill>
                          <a:blip r:embed="rId87"/>
                          <a:stretch>
                            <a:fillRect/>
                          </a:stretch>
                        </pic:blipFill>
                        <pic:spPr bwMode="auto">
                          <a:xfrm>
                            <a:off x="0" y="0"/>
                            <a:ext cx="4339577" cy="3003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90"/>
        </w:tc>
      </w:tr>
    </w:tbl>
    <w:bookmarkEnd w:id="91"/>
    <w:p>
      <w:pPr>
        <w:pStyle w:val="BodyText"/>
      </w:pPr>
      <w:r>
        <w:t xml:space="preserve">The lowest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 mainly due to confusion with Magnoliopsida and Sediment.</w:t>
      </w:r>
    </w:p>
    <w:bookmarkEnd w:id="92"/>
    <w:bookmarkStart w:id="98" w:name="variable-importance-1"/>
    <w:p>
      <w:pPr>
        <w:pStyle w:val="Heading2"/>
      </w:pPr>
      <w:r>
        <w:t xml:space="preserve">3.4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10</w:t>
        </w:r>
      </w:hyperlink>
      <w:r>
        <w:t xml:space="preserve">).</w:t>
      </w:r>
    </w:p>
    <w:bookmarkStart w:id="97" w:name="cell-fig-VIP"/>
    <w:tbl>
      <w:tblPr>
        <w:tblStyle w:val="Table"/>
        <w:tblW w:type="pct" w:w="5000"/>
        <w:tblLook w:firstRow="0" w:lastRow="0" w:firstColumn="0" w:lastColumn="0" w:noHBand="0" w:noVBand="0" w:val="0000"/>
        <w:jc w:val="start"/>
        <w:tblLayout w:type="fixed"/>
      </w:tblPr>
      <w:tblGrid>
        <w:gridCol w:w="7920"/>
      </w:tblGrid>
      <w:tr>
        <w:tc>
          <w:tcPr/>
          <w:bookmarkStart w:id="96" w:name="fig-VIP"/>
          <w:p>
            <w:pPr>
              <w:pStyle w:val="Compact"/>
              <w:jc w:val="center"/>
            </w:pPr>
            <w:r>
              <w:drawing>
                <wp:inline>
                  <wp:extent cx="4721851" cy="3452701"/>
                  <wp:effectExtent b="0" l="0" r="0" t="0"/>
                  <wp:docPr descr="" title="" id="94" name="Picture"/>
                  <a:graphic>
                    <a:graphicData uri="http://schemas.openxmlformats.org/drawingml/2006/picture">
                      <pic:pic>
                        <pic:nvPicPr>
                          <pic:cNvPr descr="Figures/Low_res/VIP/Fig_VIP.png" id="95" name="Picture"/>
                          <pic:cNvPicPr>
                            <a:picLocks noChangeArrowheads="1" noChangeAspect="1"/>
                          </pic:cNvPicPr>
                        </pic:nvPicPr>
                        <pic:blipFill>
                          <a:blip r:embed="rId93"/>
                          <a:stretch>
                            <a:fillRect/>
                          </a:stretch>
                        </pic:blipFill>
                        <pic:spPr bwMode="auto">
                          <a:xfrm>
                            <a:off x="0" y="0"/>
                            <a:ext cx="4721851" cy="3452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96"/>
        </w:tc>
      </w:tr>
    </w:tbl>
    <w:bookmarkEnd w:id="97"/>
    <w:p>
      <w:pPr>
        <w:pStyle w:val="BodyText"/>
      </w:pPr>
      <w:r>
        <w:t xml:space="preserve">The spectral bands at 444, 717 and 842 nm of the Micasense camera did not provide as important information to discriminate any of the vegetation classes. The band at 531 nm was the only important predictor for the classifier to accurately predict Chlorophyceae. In fact, at this wavelength, the Chlorophyceae spectra showed the highest reflectance among all vegetation classes.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98"/>
    <w:bookmarkStart w:id="104" w:name="Xcf81fd88fca8b2950efc6312df8973a274d7c61"/>
    <w:p>
      <w:pPr>
        <w:pStyle w:val="Heading2"/>
      </w:pPr>
      <w:r>
        <w:t xml:space="preserve">3.5 Effect of the spatial resolution on the prediction</w:t>
      </w:r>
    </w:p>
    <w:p>
      <w:pPr>
        <w:pStyle w:val="FirstParagraph"/>
      </w:pPr>
      <w:hyperlink w:anchor="fig-pixelsize">
        <w:r>
          <w:rPr>
            <w:rStyle w:val="Hyperlink"/>
          </w:rPr>
          <w:t xml:space="preserve">Figure 11</w:t>
        </w:r>
      </w:hyperlink>
      <w:r>
        <w:t xml:space="preserve"> </w:t>
      </w:r>
      <w:r>
        <w:t xml:space="preserve">shows an effect of the pixel size on the agreement between the two products. The highest resolution in which the resampling has been performed is 10 cm. At this resolution, the agreement has already decreased from 78% (red algae) to 94% (seagrass), depending on the class. As pixel size increases, the agreement between the products declines steadily for all classes. This decline is most pronounced for green algae, which experiences the sharpest drop in agreement as pixel size increases beyond 10 m, reaching below 0% at a pixel size of 30 m. Seagrass maintain higher levels of agreement at coarser resolutions, although a clear decline is still observed, with seagrasses dropping from over 94% at 10 cm to around 88% at 30 m. Brown algae and red algae show a more moderate decline compared to red algae, with agreement levels remaining around 62% and 40%, respectively, at 30 m resolution.</w:t>
      </w:r>
    </w:p>
    <w:bookmarkStart w:id="103" w:name="cell-fig-pixelsize"/>
    <w:tbl>
      <w:tblPr>
        <w:tblStyle w:val="Table"/>
        <w:tblW w:type="pct" w:w="5000"/>
        <w:tblLook w:firstRow="0" w:lastRow="0" w:firstColumn="0" w:lastColumn="0" w:noHBand="0" w:noVBand="0" w:val="0000"/>
        <w:jc w:val="start"/>
        <w:tblLayout w:type="fixed"/>
      </w:tblPr>
      <w:tblGrid>
        <w:gridCol w:w="7920"/>
      </w:tblGrid>
      <w:tr>
        <w:tc>
          <w:tcPr/>
          <w:bookmarkStart w:id="102" w:name="fig-pixelsize"/>
          <w:p>
            <w:pPr>
              <w:pStyle w:val="Compact"/>
              <w:jc w:val="center"/>
            </w:pPr>
            <w:r>
              <w:drawing>
                <wp:inline>
                  <wp:extent cx="4800600" cy="3255812"/>
                  <wp:effectExtent b="0" l="0" r="0" t="0"/>
                  <wp:docPr descr="" title="" id="100" name="Picture"/>
                  <a:graphic>
                    <a:graphicData uri="http://schemas.openxmlformats.org/drawingml/2006/picture">
                      <pic:pic>
                        <pic:nvPicPr>
                          <pic:cNvPr descr="Figures/High_res/resolution_plot.png" id="101" name="Picture"/>
                          <pic:cNvPicPr>
                            <a:picLocks noChangeArrowheads="1" noChangeAspect="1"/>
                          </pic:cNvPicPr>
                        </pic:nvPicPr>
                        <pic:blipFill>
                          <a:blip r:embed="rId99"/>
                          <a:stretch>
                            <a:fillRect/>
                          </a:stretch>
                        </pic:blipFill>
                        <pic:spPr bwMode="auto">
                          <a:xfrm>
                            <a:off x="0" y="0"/>
                            <a:ext cx="4800600" cy="32558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Coucou</w:t>
            </w:r>
          </w:p>
          <w:bookmarkEnd w:id="102"/>
        </w:tc>
      </w:tr>
    </w:tbl>
    <w:bookmarkEnd w:id="103"/>
    <w:p>
      <w:pPr>
        <w:pStyle w:val="BodyText"/>
      </w:pPr>
      <w:r>
        <w:t xml:space="preserve">The Generalized Linear Model (GLM) analysis revealed a significant effect of pixel resolution on the agreement, with a negative relationship (</w:t>
      </w:r>
    </w:p>
    <w:p>
      <w:pPr>
        <w:pStyle w:val="BodyText"/>
      </w:pPr>
      <m:oMathPara>
        <m:oMathParaPr>
          <m:jc m:val="center"/>
        </m:oMathParaPr>
        <m:oMath>
          <m:r>
            <m:t>β</m:t>
          </m:r>
          <m:r>
            <m:rPr>
              <m:sty m:val="p"/>
            </m:rPr>
            <m:t>=</m:t>
          </m:r>
          <m:r>
            <m:rPr>
              <m:sty m:val="p"/>
            </m:rPr>
            <m:t>−</m:t>
          </m:r>
          <m:r>
            <m:t>1.0334</m:t>
          </m:r>
          <m:r>
            <m:rPr>
              <m:sty m:val="p"/>
            </m:rPr>
            <m:t>×</m:t>
          </m:r>
          <m:sSup>
            <m:e>
              <m:r>
                <m:t>10</m:t>
              </m:r>
            </m:e>
            <m:sup>
              <m:r>
                <m:rPr>
                  <m:sty m:val="p"/>
                </m:rPr>
                <m:t>−</m:t>
              </m:r>
              <m:r>
                <m:t>8</m:t>
              </m:r>
            </m:sup>
          </m:sSup>
          <m:r>
            <m:rPr>
              <m:sty m:val="p"/>
            </m:rPr>
            <m:t>,</m:t>
          </m:r>
          <m:r>
            <m:t>p</m:t>
          </m:r>
          <m:r>
            <m:rPr>
              <m:sty m:val="p"/>
            </m:rPr>
            <m:t>&lt;</m:t>
          </m:r>
          <m:r>
            <m:t>0.001</m:t>
          </m:r>
        </m:oMath>
      </m:oMathPara>
    </w:p>
    <w:p>
      <w:pPr>
        <w:pStyle w:val="FirstParagraph"/>
      </w:pPr>
      <w:r>
        <w:t xml:space="preserve">). This indicates that as pixel resolution increases, the proportion of the response variable decreases.</w:t>
      </w:r>
    </w:p>
    <w:p>
      <w:pPr>
        <w:pStyle w:val="BodyText"/>
      </w:pPr>
      <w:r>
        <w:t xml:space="preserve">The vegetation classes also exhibited distinct effects on the agreement. Magnoliopsida showed a significant positive effect (</w:t>
      </w:r>
    </w:p>
    <w:p>
      <w:pPr>
        <w:pStyle w:val="BodyText"/>
      </w:pPr>
      <m:oMathPara>
        <m:oMathParaPr>
          <m:jc m:val="center"/>
        </m:oMathParaPr>
        <m:oMath>
          <m:r>
            <m:t>β</m:t>
          </m:r>
          <m:r>
            <m:rPr>
              <m:sty m:val="p"/>
            </m:rPr>
            <m:t>=</m:t>
          </m:r>
          <m:r>
            <m:t>0.1202</m:t>
          </m:r>
          <m:r>
            <m:rPr>
              <m:sty m:val="p"/>
            </m:rPr>
            <m:t>,</m:t>
          </m:r>
          <m:r>
            <m:t>p</m:t>
          </m:r>
          <m:r>
            <m:rPr>
              <m:sty m:val="p"/>
            </m:rPr>
            <m:t>&lt;</m:t>
          </m:r>
          <m:r>
            <m:t>0.001</m:t>
          </m:r>
        </m:oMath>
      </m:oMathPara>
    </w:p>
    <w:p>
      <w:pPr>
        <w:pStyle w:val="FirstParagraph"/>
      </w:pPr>
      <w:r>
        <w:t xml:space="preserve">), suggesting that this class was associated with a higher agreement.</w:t>
      </w:r>
    </w:p>
    <w:bookmarkEnd w:id="104"/>
    <w:bookmarkStart w:id="110" w:name="X7d8c98344fb9b0b2820ed333ea1419091199e0e"/>
    <w:p>
      <w:pPr>
        <w:pStyle w:val="Heading2"/>
      </w:pPr>
      <w:r>
        <w:t xml:space="preserve">3.6 Effect of the percent cover on the prediction</w:t>
      </w:r>
    </w:p>
    <w:p>
      <w:pPr>
        <w:pStyle w:val="FirstParagraph"/>
      </w:pPr>
      <w:r>
        <w:t xml:space="preserve">Using the very high resolution low altitude flight (8 mm pixels), we determined the minimal percent cover required to correctly classify a given class within the corresponding high altitude flight (8cm pixel resolution ;</w:t>
      </w:r>
      <w:r>
        <w:t xml:space="preserve"> </w:t>
      </w:r>
      <w:hyperlink w:anchor="fig-upscaling">
        <w:r>
          <w:rPr>
            <w:rStyle w:val="Hyperlink"/>
          </w:rPr>
          <w:t xml:space="preserve">Figure 12</w:t>
        </w:r>
      </w:hyperlink>
      <w:r>
        <w:t xml:space="preserve">).</w:t>
      </w:r>
    </w:p>
    <w:bookmarkStart w:id="109" w:name="cell-fig-upscaling"/>
    <w:tbl>
      <w:tblPr>
        <w:tblStyle w:val="Table"/>
        <w:tblW w:type="pct" w:w="5000"/>
        <w:tblLook w:firstRow="0" w:lastRow="0" w:firstColumn="0" w:lastColumn="0" w:noHBand="0" w:noVBand="0" w:val="0000"/>
        <w:jc w:val="start"/>
        <w:tblLayout w:type="fixed"/>
      </w:tblPr>
      <w:tblGrid>
        <w:gridCol w:w="7920"/>
      </w:tblGrid>
      <w:tr>
        <w:tc>
          <w:tcPr/>
          <w:bookmarkStart w:id="108" w:name="fig-upscaling"/>
          <w:p>
            <w:pPr>
              <w:pStyle w:val="Compact"/>
              <w:jc w:val="center"/>
            </w:pPr>
            <w:r>
              <w:drawing>
                <wp:inline>
                  <wp:extent cx="4800600" cy="6443062"/>
                  <wp:effectExtent b="0" l="0" r="0" t="0"/>
                  <wp:docPr descr="" title="" id="106" name="Picture"/>
                  <a:graphic>
                    <a:graphicData uri="http://schemas.openxmlformats.org/drawingml/2006/picture">
                      <pic:pic>
                        <pic:nvPicPr>
                          <pic:cNvPr descr="Figures/Low_res/Upscaling/density_vs_Proportion.png" id="107" name="Picture"/>
                          <pic:cNvPicPr>
                            <a:picLocks noChangeArrowheads="1" noChangeAspect="1"/>
                          </pic:cNvPicPr>
                        </pic:nvPicPr>
                        <pic:blipFill>
                          <a:blip r:embed="rId105"/>
                          <a:stretch>
                            <a:fillRect/>
                          </a:stretch>
                        </pic:blipFill>
                        <pic:spPr bwMode="auto">
                          <a:xfrm>
                            <a:off x="0" y="0"/>
                            <a:ext cx="4800600" cy="64430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108"/>
        </w:tc>
      </w:tr>
    </w:tbl>
    <w:bookmarkEnd w:id="109"/>
    <w:p>
      <w:pPr>
        <w:pStyle w:val="BodyText"/>
      </w:pPr>
      <w:r>
        <w:t xml:space="preserve">A percent cover of at least 80% was sufficient to have all the pixels of high altitude flights correctly classified, with the exception of Magnoliopsida that required a higher cover (&gt;90 %) to be well classified. Concerning the probability of each class, there is a linear relationship between the percent cover and the confidence of the model to predict the class. To predict Chlorophyceae with a model likelihood of 0.85, a cover of 93 % was needed, 90 % for Magnoliopsida, 92 % for Rhodophyceae and 97 % for Bacillariophyceae.</w:t>
      </w:r>
      <w:r>
        <w:t xml:space="preserve"> </w:t>
      </w:r>
      <w:r>
        <w:t xml:space="preserve">When the vegetation cover of a given class was 100 %, coarser high-flight pixels were well classified for all the classes except for Bare Sediment, which was only well classified 80% of the time. This phenomenon may be attributed to the time gap between the two flights, allowing for microphytobenthos migration to the surface during low tide, consequently altering the model’s classification from bare sediment to Bacillariophyceae.</w:t>
      </w:r>
    </w:p>
    <w:bookmarkEnd w:id="110"/>
    <w:bookmarkEnd w:id="111"/>
    <w:bookmarkStart w:id="126" w:name="discussion"/>
    <w:p>
      <w:pPr>
        <w:pStyle w:val="Heading1"/>
      </w:pPr>
      <w:r>
        <w:t xml:space="preserve">4. Discussion</w:t>
      </w:r>
    </w:p>
    <w:bookmarkStart w:id="122" w:name="vegetation-discrimination"/>
    <w:p>
      <w:pPr>
        <w:pStyle w:val="Heading2"/>
      </w:pPr>
      <w:r>
        <w:t xml:space="preserve">4.1 Vegetation Discrimination</w:t>
      </w:r>
    </w:p>
    <w:p>
      <w:pPr>
        <w:pStyle w:val="FirstParagraph"/>
      </w:pPr>
      <w:r>
        <w:t xml:space="preserve">The primary objective of this study was to develop a method for the accurate classification of macrophytes at low tide on tidal flats, specifically focusing on distinguishing between Chlorophyceae (green macroalgae) and marine Magnoliopsida (seagrasses) using a multispectral resolution. The discrimination of seagrasses from green macroalgae presents is spectrally challenging</w:t>
      </w:r>
      <w:r>
        <w:t xml:space="preserve"> </w:t>
      </w:r>
      <w:r>
        <w:t xml:space="preserve">(Oiry and Barillé, 2021 ; Bannari et al., 2022 ; Veettil et al., 2020)</w:t>
      </w:r>
      <w:r>
        <w:t xml:space="preserve">. These two macrophytes share a similar pigment composition: chlorophyll-a (common to all vegetation types), chlorophyll-b (an additional photosynthetic pigment), and accessory carotenoids such as zeaxanthin, lutein and neoxanthin (</w:t>
      </w:r>
      <w:hyperlink w:anchor="fig-Pigm">
        <w:r>
          <w:rPr>
            <w:rStyle w:val="Hyperlink"/>
          </w:rPr>
          <w:t xml:space="preserve">Figure 13</w:t>
        </w:r>
      </w:hyperlink>
      <w:r>
        <w:t xml:space="preserve">). Their spectral responses could be close, particularly at a multispectral resolution. Seagrass and green macroalgae frequently co-occur in intertidal areas, and can intermingle within a remote sensing pixel if the spatial resolution is too low. Here, the issue of intra-pixel mixing was resolved thanks to the very high spatial resolution of the drone. In this study the risk of spectral confusion was avoided with a machine-learning approach exploiting a neural networks classifier. Our drone flights and a recent study based on</w:t>
      </w:r>
      <w:r>
        <w:t xml:space="preserve"> </w:t>
      </w:r>
      <w:r>
        <w:rPr>
          <w:iCs/>
          <w:i/>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bookmarkStart w:id="116" w:name="cell-fig-Pigm"/>
    <w:tbl>
      <w:tblPr>
        <w:tblStyle w:val="Table"/>
        <w:tblW w:type="pct" w:w="5000"/>
        <w:tblLook w:firstRow="0" w:lastRow="0" w:firstColumn="0" w:lastColumn="0" w:noHBand="0" w:noVBand="0" w:val="0000"/>
        <w:jc w:val="start"/>
        <w:tblLayout w:type="fixed"/>
      </w:tblPr>
      <w:tblGrid>
        <w:gridCol w:w="7920"/>
      </w:tblGrid>
      <w:tr>
        <w:tc>
          <w:tcPr/>
          <w:bookmarkStart w:id="115" w:name="fig-Pigm"/>
          <w:p>
            <w:pPr>
              <w:pStyle w:val="Compact"/>
              <w:jc w:val="center"/>
            </w:pPr>
            <w:r>
              <w:drawing>
                <wp:inline>
                  <wp:extent cx="5334000" cy="2473274"/>
                  <wp:effectExtent b="0" l="0" r="0" t="0"/>
                  <wp:docPr descr="" title="" id="113" name="Picture"/>
                  <a:graphic>
                    <a:graphicData uri="http://schemas.openxmlformats.org/drawingml/2006/picture">
                      <pic:pic>
                        <pic:nvPicPr>
                          <pic:cNvPr descr="./Figures/Low_res/Disc_Pigment_Table.png" id="114" name="Picture"/>
                          <pic:cNvPicPr>
                            <a:picLocks noChangeArrowheads="1" noChangeAspect="1"/>
                          </pic:cNvPicPr>
                        </pic:nvPicPr>
                        <pic:blipFill>
                          <a:blip r:embed="rId112"/>
                          <a:stretch>
                            <a:fillRect/>
                          </a:stretch>
                        </pic:blipFill>
                        <pic:spPr bwMode="auto">
                          <a:xfrm>
                            <a:off x="0" y="0"/>
                            <a:ext cx="5334000" cy="24732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p>
          <w:bookmarkEnd w:id="115"/>
        </w:tc>
      </w:tr>
    </w:tbl>
    <w:bookmarkEnd w:id="116"/>
    <w:bookmarkStart w:id="121" w:name="cell-fig-ValidationGreen"/>
    <w:tbl>
      <w:tblPr>
        <w:tblStyle w:val="Table"/>
        <w:tblW w:type="pct" w:w="5000"/>
        <w:tblLook w:firstRow="0" w:lastRow="0" w:firstColumn="0" w:lastColumn="0" w:noHBand="0" w:noVBand="0" w:val="0000"/>
        <w:jc w:val="start"/>
        <w:tblLayout w:type="fixed"/>
      </w:tblPr>
      <w:tblGrid>
        <w:gridCol w:w="7920"/>
      </w:tblGrid>
      <w:tr>
        <w:tc>
          <w:tcPr/>
          <w:bookmarkStart w:id="120" w:name="fig-ValidationGreen"/>
          <w:p>
            <w:pPr>
              <w:pStyle w:val="Compact"/>
              <w:jc w:val="center"/>
            </w:pPr>
            <w:r>
              <w:drawing>
                <wp:inline>
                  <wp:extent cx="2709559" cy="1932778"/>
                  <wp:effectExtent b="0" l="0" r="0" t="0"/>
                  <wp:docPr descr="" title="" id="118" name="Picture"/>
                  <a:graphic>
                    <a:graphicData uri="http://schemas.openxmlformats.org/drawingml/2006/picture">
                      <pic:pic>
                        <pic:nvPicPr>
                          <pic:cNvPr descr="./Figures/Low_res/Validation/ConfusionMatrixGreen.png" id="119" name="Picture"/>
                          <pic:cNvPicPr>
                            <a:picLocks noChangeArrowheads="1" noChangeAspect="1"/>
                          </pic:cNvPicPr>
                        </pic:nvPicPr>
                        <pic:blipFill>
                          <a:blip r:embed="rId117"/>
                          <a:stretch>
                            <a:fillRect/>
                          </a:stretch>
                        </pic:blipFill>
                        <pic:spPr bwMode="auto">
                          <a:xfrm>
                            <a:off x="0" y="0"/>
                            <a:ext cx="2709559" cy="1932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Sample of</w:t>
            </w:r>
            <w:r>
              <w:t xml:space="preserve"> </w:t>
            </w:r>
            <w:hyperlink w:anchor="fig-Validation">
              <w:r>
                <w:rPr>
                  <w:rStyle w:val="Hyperlink"/>
                </w:rPr>
                <w:t xml:space="preserve">Figure 9</w:t>
              </w:r>
            </w:hyperlink>
            <w:r>
              <w:t xml:space="preserve"> </w:t>
            </w:r>
            <w:r>
              <w:t xml:space="preserve">focusing on green macrophytes. The labels inside the matrix indicate the number of pixels.</w:t>
            </w:r>
          </w:p>
          <w:bookmarkEnd w:id="120"/>
        </w:tc>
      </w:tr>
    </w:tbl>
    <w:bookmarkEnd w:id="121"/>
    <w:p>
      <w:pPr>
        <w:pStyle w:val="BodyText"/>
      </w:pPr>
      <w:r>
        <w:t xml:space="preserve">Meeting these two criteria, the Micasense RedEdge-MX DUAL camera used in this study, enabled the classifier to achieve 97% of accuracy between these two classes (</w:t>
      </w:r>
      <w:hyperlink w:anchor="fig-ValidationGreen">
        <w:r>
          <w:rPr>
            <w:rStyle w:val="Hyperlink"/>
          </w:rPr>
          <w:t xml:space="preserve">Figure 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Hyperlink"/>
          </w:rPr>
          <w:t xml:space="preserve">Figure 2</w:t>
        </w:r>
      </w:hyperlink>
      <w:r>
        <w:t xml:space="preserve">). Such differences were previously attributed to differences in pigments concentration and/or ratios</w:t>
      </w:r>
      <w:r>
        <w:t xml:space="preserve"> </w:t>
      </w:r>
      <w:r>
        <w:t xml:space="preserve">(Bargain et al., 2013)</w:t>
      </w:r>
      <w:r>
        <w:t xml:space="preserve">, cellular structure as well as in the orientation of the plant at the sediment surface</w:t>
      </w:r>
      <w:r>
        <w:t xml:space="preserve"> </w:t>
      </w:r>
      <w:r>
        <w:t xml:space="preserve">(Beach et al., 1997 ; Kirk, 1994 ; Hedley et al., 2018)</w:t>
      </w:r>
      <w:r>
        <w:t xml:space="preserve">.</w:t>
      </w:r>
    </w:p>
    <w:p>
      <w:pPr>
        <w:pStyle w:val="BodyText"/>
      </w:pPr>
      <w:r>
        <w:t xml:space="preserve">The variable importance analysis (</w:t>
      </w:r>
      <w:hyperlink w:anchor="fig-VIP">
        <w:r>
          <w:rPr>
            <w:rStyle w:val="Hyperlink"/>
          </w:rPr>
          <w:t xml:space="preserve">Figure 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carotenoids to chlorophyll-a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t>
      </w:r>
      <w:r>
        <w:t xml:space="preserve">whereas the presence of fucoxanthin and zeaxanthin result in a low reflectance in the visible region (</w:t>
      </w:r>
      <w:hyperlink w:anchor="fig-Pigm">
        <w:r>
          <w:rPr>
            <w:rStyle w:val="Hyperlink"/>
          </w:rPr>
          <w:t xml:space="preserve">Figure 13</w:t>
        </w:r>
      </w:hyperlink>
      <w:r>
        <w:t xml:space="preserve"> </w:t>
      </w:r>
      <w:r>
        <w:t xml:space="preserve">;</w:t>
      </w:r>
      <w:r>
        <w:t xml:space="preserve"> </w:t>
      </w:r>
      <w:hyperlink w:anchor="fig-VIP">
        <w:r>
          <w:rPr>
            <w:rStyle w:val="Hyperlink"/>
          </w:rPr>
          <w:t xml:space="preserve">Figure 10</w:t>
        </w:r>
      </w:hyperlink>
      <w:r>
        <w:t xml:space="preserve">). These two key features have been identified by the Neural Network as the two principal predictors to accurately identify brown algae (</w:t>
      </w:r>
      <w:hyperlink w:anchor="fig-VIP">
        <w:r>
          <w:rPr>
            <w:rStyle w:val="Hyperlink"/>
          </w:rPr>
          <w:t xml:space="preserve">Figure 10</w:t>
        </w:r>
      </w:hyperlink>
      <w:r>
        <w:t xml:space="preserve">). Similarly, the presence of phycoerythrin and phycocyanin in Rhodophyceae contribute to the lowest reflectance among all classes in the spectral range from 560 to 615 nm (</w:t>
      </w:r>
      <w:hyperlink w:anchor="fig-VIP">
        <w:r>
          <w:rPr>
            <w:rStyle w:val="Hyperlink"/>
          </w:rPr>
          <w:t xml:space="preserve">Figure 10</w:t>
        </w:r>
      </w:hyperlink>
      <w:r>
        <w:t xml:space="preserve">). Indeed the band at 560 nm has been identified as important for identifying this class, likely due to phycoerythrin absorption at this wavelength. Regarding Bacillariophyceae, the variable importance analysis (</w:t>
      </w:r>
      <w:hyperlink w:anchor="fig-VIP">
        <w:r>
          <w:rPr>
            <w:rStyle w:val="Hyperlink"/>
          </w:rPr>
          <w:t xml:space="preserve">Figure 10</w:t>
        </w:r>
      </w:hyperlink>
      <w:r>
        <w:t xml:space="preserve">) indicated that 475 nm was the most important predictor for this class. Indeed, the reflectance at 475 nm was higher for Bacillariophyceae than for any other vegetation class (</w:t>
      </w:r>
      <w:hyperlink w:anchor="fig-vegetation">
        <w:r>
          <w:rPr>
            <w:rStyle w:val="Hyperlink"/>
          </w:rPr>
          <w:t xml:space="preserve">Figure 2</w:t>
        </w:r>
      </w:hyperlink>
      <w:r>
        <w:t xml:space="preserve">), very likely due to the low biomass (and associated concentration of blue-absorbing pigments) of these unicellular organisms compared to seagrass and macroalgae.</w:t>
      </w:r>
    </w:p>
    <w:bookmarkEnd w:id="122"/>
    <w:bookmarkStart w:id="123" w:name="X56bbf18dfbac1929b10d45740eeb232309054c0"/>
    <w:p>
      <w:pPr>
        <w:pStyle w:val="Heading2"/>
      </w:pPr>
      <w:r>
        <w:t xml:space="preserve">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2000)</w:t>
      </w:r>
      <w:r>
        <w:t xml:space="preserve">. By distinguishing between seagrasses and macroalgae, our approach facilitates targeted conservation strategies, enabling more effective preservation and restoration efforts in coastal ecosystems.</w:t>
      </w:r>
      <w:r>
        <w:t xml:space="preserve"> </w:t>
      </w:r>
      <w:r>
        <w:t xml:space="preserve">While comparing the reflectance at two different altitudes (12 m and 120 m), a nearly one-to-one relationship was observed, with a Root Mean Square Error (RMSE) of 0.02 (</w:t>
      </w:r>
      <w:hyperlink w:anchor="fig-CompareRef">
        <w:r>
          <w:rPr>
            <w:rStyle w:val="Hyperlink"/>
          </w:rPr>
          <w:t xml:space="preserve">Figure 4</w:t>
        </w:r>
      </w:hyperlink>
      <w:r>
        <w:t xml:space="preserve">). This result indicates that the reflectance measured by remote sensing (RS) sensors is not significantly influenced by pixel size.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infrared part of the spectra in the high-altitude dataset (</w:t>
      </w:r>
      <w:hyperlink w:anchor="fig-CompareRef">
        <w:r>
          <w:rPr>
            <w:rStyle w:val="Hyperlink"/>
          </w:rPr>
          <w:t xml:space="preserve">Figure 4</w:t>
        </w:r>
      </w:hyperlink>
      <w:r>
        <w:t xml:space="preserve">).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
        <w:r>
          <w:rPr>
            <w:rStyle w:val="Hyperlink"/>
          </w:rPr>
          <w:t xml:space="preserve">Equation 1</w:t>
        </w:r>
      </w:hyperlink>
      <w:r>
        <w:t xml:space="preserve">. This approach allowed us to eliminate the slight reflectance difference between the flights (</w:t>
      </w:r>
      <w:hyperlink w:anchor="fig-CompareRef">
        <w:r>
          <w:rPr>
            <w:rStyle w:val="Hyperlink"/>
          </w:rPr>
          <w:t xml:space="preserve">Figure 4</w:t>
        </w:r>
      </w:hyperlink>
      <w:r>
        <w:t xml:space="preserve"> </w:t>
      </w:r>
      <w:r>
        <w:t xml:space="preserve">B) and to focus on the shape of the spectra in the visible part of the electromagnetic spectra, where different pigmentation are associated to taxonomic diagnostic features. In contrast to subtidal seagrasses, which maintain a relatively constant biomass throughout the year, intertidal seagrasses, like the one studied in this work, exhibit strong seasonal phenology</w:t>
      </w:r>
      <w:r>
        <w:t xml:space="preserve"> </w:t>
      </w:r>
      <w:r>
        <w:t xml:space="preserve">(Davies et al., 2024a)</w:t>
      </w:r>
      <w:r>
        <w:t xml:space="preserve">. At some sites, they completely disappear during the winter and reach their peak above-ground biomass in the summer and early fall. Along with these seasonal changes in biomass, the pigment composition and ratios also vary throughout the year, reflecting the plants’ adaptations to different environmental conditions</w:t>
      </w:r>
      <w:r>
        <w:t xml:space="preserve"> </w:t>
      </w:r>
      <w:r>
        <w:t xml:space="preserve">(Bargain et al., 2013 ; Légaré et al., 2022)</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(Fyfe, 2003 ; Costa et al., 2021 ; Piaser et al., 2023)</w:t>
      </w:r>
      <w:r>
        <w:t xml:space="preserve">. We found 90 % seagrass cover was necessary at an 8 cm resolution for confident prediction of its presence (</w:t>
      </w:r>
      <w:hyperlink w:anchor="fig-upscaling">
        <w:r>
          <w:rPr>
            <w:rStyle w:val="Hyperlink"/>
          </w:rPr>
          <w:t xml:space="preserve">Figure 12</w:t>
        </w:r>
      </w:hyperlink>
      <w:r>
        <w:t xml:space="preserve">). However, due to the strong phenology of intertidal seagrass meadows in Europe, the period when a meadow is well-established can be temporally restricted, limiting the ideal window for accurate detection.</w:t>
      </w:r>
    </w:p>
    <w:bookmarkEnd w:id="123"/>
    <w:bookmarkStart w:id="124" w:name="X8ee0ba22c6fafee2c4fdf3a7dcdce5bc64eb5f3"/>
    <w:p>
      <w:pPr>
        <w:pStyle w:val="Heading2"/>
      </w:pPr>
      <w:r>
        <w:t xml:space="preserve">4.3 Impact of Pixel Resolution on the prediction and Implications for Satellite Remote Sensing</w:t>
      </w:r>
    </w:p>
    <w:p>
      <w:pPr>
        <w:pStyle w:val="FirstParagraph"/>
      </w:pPr>
      <w:r>
        <w:t xml:space="preserve">The results of</w:t>
      </w:r>
      <w:r>
        <w:t xml:space="preserve"> </w:t>
      </w:r>
      <w:hyperlink w:anchor="fig-pixelsize">
        <w:r>
          <w:rPr>
            <w:rStyle w:val="Hyperlink"/>
          </w:rPr>
          <w:t xml:space="preserve">Figure 11</w:t>
        </w:r>
      </w:hyperlink>
      <w:r>
        <w:t xml:space="preserve"> </w:t>
      </w:r>
      <w:r>
        <w:t xml:space="preserve">highlight the importance of pixel resolution in maintaining accurate classification and agreement between products derived from remote sensing data with different spatial resolutions. As the pixel size increases, a consistent decline in agreement is observed across all vegetation classes, with more pronounced effects for certain classes, such as green algae. This phenomenon underscores the sensitivity of spatial resolution in distinguishing smaller or patchier vegetation features. Green algae, being more patchy in all our study sites, demonstrates the steepest drop in agreement with increasing pixel size, which aligns with expectations given the limitations of coarser resolution in capturing fine-scale details.</w:t>
      </w:r>
    </w:p>
    <w:p>
      <w:pPr>
        <w:pStyle w:val="BodyText"/>
      </w:pPr>
      <w:r>
        <w:t xml:space="preserve">This relationship between resolution and agreement has significant implications for satellite platforms like Sentinel-2 and Landsat. Both satellites, commonly used in marine and coastal vegetation studies, offer medium-resolution imagery, with pixel sizes of 10 m and 30 m, respectively. While these resolutions are suitable for broad-scale environmental monitoring, they may struggle to capture finer-scale heterogeneity, especially for more fragmented or patchy vegetation types like green algae. The results suggest that while coarser resolutions like those of Landsat are sufficient for seagrass and other more homogeneous vegetation types, higher resolutions are essential for accurately mapping species like green algae.</w:t>
      </w:r>
    </w:p>
    <w:bookmarkEnd w:id="124"/>
    <w:bookmarkStart w:id="125" w:name="X358d9a53b4ed72181dfc2d93c4ce60c8d17bbcb"/>
    <w:p>
      <w:pPr>
        <w:pStyle w:val="Heading2"/>
      </w:pPr>
      <w:r>
        <w:t xml:space="preserve">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 Marquet et al., 2024; Schibalski et al., 2022)</w:t>
      </w:r>
      <w:r>
        <w:t xml:space="preserve"> </w:t>
      </w:r>
      <w:r>
        <w:t xml:space="preserve">and the demand for meaningful and efficient monitoring of coastal habitats has never been higher</w:t>
      </w:r>
      <w:r>
        <w:t xml:space="preserve">(Muller-Karger et al., 2018 ; Villalobos Perna et al., 2023 ; Oiry and Barillé, 2021)</w:t>
      </w:r>
      <w:r>
        <w:t xml:space="preserve">. Our findings, particularly the improved discrimination of intertidal seagrass and green macroalgae from other intertidal vegetation classes, highlight the potential of drone-based remote sensing to support diverse applications, from conservation of biodiversity to climate change adaptation strategies.</w:t>
      </w:r>
    </w:p>
    <w:p>
      <w:pPr>
        <w:pStyle w:val="BodyText"/>
      </w:pPr>
      <w:r>
        <w:t xml:space="preserve">Because of coastal eutrophication, macroalgal blooms are becoming increasingly common in many regions around the world</w:t>
      </w:r>
      <w:r>
        <w:t xml:space="preserve"> </w:t>
      </w:r>
      <w:r>
        <w:t xml:space="preserve">(Sutton et al., 2011 ;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 Ye et al., 2011)</w:t>
      </w:r>
      <w:r>
        <w:t xml:space="preserve">. The first green tide events (i.e. bloom of green macroalgae of the genus</w:t>
      </w:r>
      <w:r>
        <w:t xml:space="preserve"> </w:t>
      </w:r>
      <w:r>
        <w:rPr>
          <w:iCs/>
          <w:i/>
        </w:rPr>
        <w:t xml:space="preserve">Ulva</w:t>
      </w:r>
      <w:r>
        <w:t xml:space="preserve">) were reported in Brittany, France, back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Cs/>
          <w:i/>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Cs/>
          <w:i/>
        </w:rPr>
        <w:t xml:space="preserve">Rugulopteryx okamurea</w:t>
      </w:r>
      <w:r>
        <w:t xml:space="preserve"> </w:t>
      </w:r>
      <w:r>
        <w:t xml:space="preserve">in southern Europe</w:t>
      </w:r>
      <w:r>
        <w:t xml:space="preserve"> </w:t>
      </w:r>
      <w:r>
        <w:t xml:space="preserve">(Roca et al., 2022)</w:t>
      </w:r>
      <w:r>
        <w:t xml:space="preserve">. Satellite remote sensing has proven to be a valuable tool for mapping the spatial and temporal extent of macroalgal blooms worldwide. However, due to limitations in spatial resolution, it can only effectively map well-developed blooms</w:t>
      </w:r>
      <w:r>
        <w:t xml:space="preserve"> </w:t>
      </w:r>
      <w:r>
        <w:t xml:space="preserve">(Schreyers et al., 2021 ; Klemas, 2012 ; Haro et al., 2023)</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scale-up when applied alone. Earth Observation can bridge this gap and meet the needs for systematic monitoring coastal ecosystems over large areas</w:t>
      </w:r>
      <w:r>
        <w:t xml:space="preserve"> </w:t>
      </w:r>
      <w:r>
        <w:t xml:space="preserve">(Papathanasopoulou et al., 2019)</w:t>
      </w:r>
      <w:r>
        <w:t xml:space="preserve">. The retrieval of Essential Biodiversity Variables and Essential Ocean Variables through satellite observations has been increasingly common, enabling comprehensive monitoring of entire ecosystems over extended time periods</w:t>
      </w:r>
      <w:r>
        <w:t xml:space="preserve"> </w:t>
      </w:r>
      <w:r>
        <w:t xml:space="preserve">(Ratnarajah et al., 2023 ; Zoffoli et al., 2021)</w:t>
      </w:r>
      <w:r>
        <w:t xml:space="preserve">. The Water Framework Directive</w:t>
      </w:r>
      <w:r>
        <w:t xml:space="preserve"> </w:t>
      </w:r>
      <w:r>
        <w:t xml:space="preserve">(European-Commission, 2000)</w:t>
      </w:r>
      <w:r>
        <w:t xml:space="preserve"> </w:t>
      </w:r>
      <w:r>
        <w:t xml:space="preserve">mandates the achievement and maintenance of</w:t>
      </w:r>
      <w:r>
        <w:t xml:space="preserve"> </w:t>
      </w:r>
      <w:r>
        <w:t xml:space="preserve">“</w:t>
      </w:r>
      <w:r>
        <w:t xml:space="preserve">good ecological status</w:t>
      </w:r>
      <w:r>
        <w:t xml:space="preserve">”</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 Nordlund et al., 2024 ; Zoffoli et al., 2021)</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 spatial-resolution provide a novel and powerful tool to rapidly and accurately acquire ground truth data which can be used to develop machine-learning algorithm for satellite sensors</w:t>
      </w:r>
      <w:r>
        <w:t xml:space="preserve"> </w:t>
      </w:r>
      <w:r>
        <w:t xml:space="preserve">(Davies et al., 2024b)</w:t>
      </w:r>
      <w:r>
        <w:t xml:space="preserve">. Spatially resolved data are indeed critical for calibrating and validating satellite remote sensing observations, thereby enhancing our capacity to monitor vast coastal areas. A perspective of this work could be to develop a similar classifier for satellite images (e.g. Sentinel-2), and test whether the discrimination between seagrass and green macroalgae is still operational at a coarser spatial resolution. The integration of drone technology facilitates a scalable approach to environmental surveillance while taking into account patchiness of secondary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125"/>
    <w:bookmarkEnd w:id="126"/>
    <w:bookmarkStart w:id="226" w:name="conclusion"/>
    <w:p>
      <w:pPr>
        <w:pStyle w:val="Heading1"/>
      </w:pPr>
      <w:r>
        <w:t xml:space="preserve">5. Conclusion</w:t>
      </w:r>
    </w:p>
    <w:p>
      <w:pPr>
        <w:pStyle w:val="FirstParagraph"/>
      </w:pPr>
      <w:r>
        <w:t xml:space="preserve">The utilization of very high spatial-resolution drone-based remote sensing coupled with machine learning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for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MX are very similar to those of Sentinel-2, we suggest that multispectral satellite data have the potential to perform this discrimination between green these macrophytes. A Sentinel-2 algorithm could be developed, using the output of this current workflow as training and validation data. The findings underscore the importance of adopting advanced remote sensing tools in ecological studies and environmental monitoring, providing a foundation for future research and policy implementation aimed at ecosystem conservation and restoration.</w:t>
      </w:r>
    </w:p>
    <w:bookmarkStart w:id="225" w:name="refs"/>
    <w:bookmarkStart w:id="127" w:name="ref-adade2021"/>
    <w:p>
      <w:pPr>
        <w:pStyle w:val="Bibliography"/>
      </w:pPr>
      <w:r>
        <w:t xml:space="preserve">Adade, R., Aibinu, A.M., Ekumah, B., Asaana, J., 2021. Unmanned aerial vehicle (UAV) applications in coastal zone management—a review. Environmental Monitoring and Assessment 193, 1–12.</w:t>
      </w:r>
    </w:p>
    <w:bookmarkEnd w:id="127"/>
    <w:bookmarkStart w:id="129" w:name="ref-agisoft"/>
    <w:p>
      <w:pPr>
        <w:pStyle w:val="Bibliography"/>
      </w:pPr>
      <w:r>
        <w:t xml:space="preserve">Agisoft, 2019.</w:t>
      </w:r>
      <w:r>
        <w:t xml:space="preserve"> </w:t>
      </w:r>
      <w:hyperlink r:id="rId128">
        <w:r>
          <w:rPr>
            <w:rStyle w:val="Hyperlink"/>
          </w:rPr>
          <w:t xml:space="preserve">Agisoft metashape</w:t>
        </w:r>
      </w:hyperlink>
      <w:r>
        <w:t xml:space="preserve">.</w:t>
      </w:r>
    </w:p>
    <w:bookmarkEnd w:id="129"/>
    <w:bookmarkStart w:id="130"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30"/>
    <w:bookmarkStart w:id="131"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131"/>
    <w:bookmarkStart w:id="132" w:name="ref-bargain2013seasonal"/>
    <w:p>
      <w:pPr>
        <w:pStyle w:val="Bibliography"/>
      </w:pPr>
      <w:r>
        <w:t xml:space="preserve">Bargain, A., Robin, M., Méléder, V., Rosa, P., Le Menn, E., Harin, N., Barillé, L., 2013. Seasonal spectral variation of zostera noltii and its influence on pigment-based vegetation indices. Journal of experimental marine biology and ecology 446, 86–94.</w:t>
      </w:r>
    </w:p>
    <w:bookmarkEnd w:id="132"/>
    <w:bookmarkStart w:id="133" w:name="ref-beach1997vivo"/>
    <w:p>
      <w:pPr>
        <w:pStyle w:val="Bibliography"/>
      </w:pPr>
      <w:r>
        <w:t xml:space="preserve">Beach, K., Borgeas, H., Nishimura, N., Smith, C., 1997. In vivo absorbance spectra and the ecophysiology of reef macroalgae. Coral Reefs 16, 21–28.</w:t>
      </w:r>
    </w:p>
    <w:bookmarkEnd w:id="133"/>
    <w:bookmarkStart w:id="135"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34">
        <w:r>
          <w:rPr>
            <w:rStyle w:val="Hyperlink"/>
          </w:rPr>
          <w:t xml:space="preserve">https://doi.org/10.3390/RS14020307</w:t>
        </w:r>
      </w:hyperlink>
    </w:p>
    <w:bookmarkEnd w:id="135"/>
    <w:bookmarkStart w:id="137"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36">
        <w:r>
          <w:rPr>
            <w:rStyle w:val="Hyperlink"/>
          </w:rPr>
          <w:t xml:space="preserve">https://doi.org/10.1139/cjfas-2016-0137</w:t>
        </w:r>
      </w:hyperlink>
    </w:p>
    <w:bookmarkEnd w:id="137"/>
    <w:bookmarkStart w:id="138" w:name="ref-casella2020"/>
    <w:p>
      <w:pPr>
        <w:pStyle w:val="Bibliography"/>
      </w:pPr>
      <w:r>
        <w:t xml:space="preserve">Casella, E., Drechsel, J., Winter, C., Benninghoff, M., Rovere, A., 2020. Accuracy of sand beach topography surveying by drones and photogrammetry. Geo-Marine Letters 40, 255–268.</w:t>
      </w:r>
    </w:p>
    <w:bookmarkEnd w:id="138"/>
    <w:bookmarkStart w:id="139"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139"/>
    <w:bookmarkStart w:id="140" w:name="ref-chefaoui2018dramatic"/>
    <w:p>
      <w:pPr>
        <w:pStyle w:val="Bibliography"/>
      </w:pPr>
      <w:r>
        <w:t xml:space="preserve">Chefaoui, R.M., Duarte, C.M., Serrão, E.A., 2018. Dramatic loss of seagrass habitat under projected climate change in the mediterranean sea. Global change biology 24, 4919–4928.</w:t>
      </w:r>
    </w:p>
    <w:bookmarkEnd w:id="140"/>
    <w:bookmarkStart w:id="141"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41"/>
    <w:bookmarkStart w:id="142" w:name="ref-collin2019improving"/>
    <w:p>
      <w:pPr>
        <w:pStyle w:val="Bibliography"/>
      </w:pPr>
      <w:r>
        <w:t xml:space="preserve">Collin, A., Dubois, S., James, D., Houet, T., 2019. Improving intertidal reef mapping using UAV surface, red edge, and near-infrared data. Drones 3, 67.</w:t>
      </w:r>
    </w:p>
    <w:bookmarkEnd w:id="142"/>
    <w:bookmarkStart w:id="144"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143">
        <w:r>
          <w:rPr>
            <w:rStyle w:val="Hyperlink"/>
          </w:rPr>
          <w:t xml:space="preserve">https://doi.org/10.1016/j.ecolind.2020.107018</w:t>
        </w:r>
      </w:hyperlink>
    </w:p>
    <w:bookmarkEnd w:id="144"/>
    <w:bookmarkStart w:id="146"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45">
        <w:r>
          <w:rPr>
            <w:rStyle w:val="Hyperlink"/>
          </w:rPr>
          <w:t xml:space="preserve">https://doi.org/10.1016/j.rse.2023.113554</w:t>
        </w:r>
      </w:hyperlink>
    </w:p>
    <w:bookmarkEnd w:id="146"/>
    <w:bookmarkStart w:id="147" w:name="ref-davies2024sentinel"/>
    <w:p>
      <w:pPr>
        <w:pStyle w:val="Bibliography"/>
      </w:pPr>
      <w:r>
        <w:t xml:space="preserve">Davies, B.F.R., Oiry, S., Rosa, P., Zoffoli, M.L., Sousa, A.I., Thomas, O.R., Smale, D.A., Austen, M.C., Biermann, L., Attrill, M.J., others, 2024a. A sentinel watching over inter-tidal seagrass phenology across western europe and north africa. Communications Earth &amp; Environment 5, 382.</w:t>
      </w:r>
    </w:p>
    <w:bookmarkEnd w:id="147"/>
    <w:bookmarkStart w:id="148" w:name="ref-davies2024intertidal"/>
    <w:p>
      <w:pPr>
        <w:pStyle w:val="Bibliography"/>
      </w:pPr>
      <w:r>
        <w:t xml:space="preserve">Davies, B.F.R., Oiry, S., Rosa, P., Zoffoli, M.L., Sousa, A.I., Thomas, O.R., Smale, D.A., Austen, M.C., Biermann, L., Attrill, M.J., others, 2024b. Intertidal seagrass extent from sentinel-2 time-series show distinct trajectories in western europe. Remote Sensing of Environment 312, 114340.</w:t>
      </w:r>
    </w:p>
    <w:bookmarkEnd w:id="148"/>
    <w:bookmarkStart w:id="150" w:name="ref-BedeGbif"/>
    <w:p>
      <w:pPr>
        <w:pStyle w:val="Bibliography"/>
      </w:pPr>
      <w:r>
        <w:t xml:space="preserve">Davies, B.F.R., Sousa, A.I., Figueira, R., Oiry, S., Gernez, P., Barillé, L., 2023b. Benthic intertidal vegetation from the tagus estuary and aveiro lagoon.</w:t>
      </w:r>
      <w:r>
        <w:t xml:space="preserve"> </w:t>
      </w:r>
      <w:hyperlink r:id="rId149">
        <w:r>
          <w:rPr>
            <w:rStyle w:val="Hyperlink"/>
          </w:rPr>
          <w:t xml:space="preserve">https://doi.org/10.15468/n4ak6x</w:t>
        </w:r>
      </w:hyperlink>
    </w:p>
    <w:bookmarkEnd w:id="150"/>
    <w:bookmarkStart w:id="151" w:name="ref-devlin2023nutrients"/>
    <w:p>
      <w:pPr>
        <w:pStyle w:val="Bibliography"/>
      </w:pPr>
      <w:r>
        <w:t xml:space="preserve">Devlin, M., Brodie, J., 2023. Nutrients and eutrophication, in: Marine Pollution–Monitoring, Management and Mitigation. Springer, pp. 75–100.</w:t>
      </w:r>
    </w:p>
    <w:bookmarkEnd w:id="151"/>
    <w:bookmarkStart w:id="153" w:name="ref-Douay2022"/>
    <w:p>
      <w:pPr>
        <w:pStyle w:val="Bibliography"/>
      </w:pPr>
      <w:r>
        <w:t xml:space="preserve">Douay, F., Verpoorter, C., Duong, G., Spilmont, N., Gevaert, F., 2022. New hyperspectral procedure to discriminate intertidal macroalgae. Remote Sensing 14.</w:t>
      </w:r>
      <w:r>
        <w:t xml:space="preserve"> </w:t>
      </w:r>
      <w:hyperlink r:id="rId152">
        <w:r>
          <w:rPr>
            <w:rStyle w:val="Hyperlink"/>
          </w:rPr>
          <w:t xml:space="preserve">https://doi.org/10.3390/rs14020346</w:t>
        </w:r>
      </w:hyperlink>
    </w:p>
    <w:bookmarkEnd w:id="153"/>
    <w:bookmarkStart w:id="154"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54"/>
    <w:bookmarkStart w:id="155" w:name="ref-WFD2000"/>
    <w:p>
      <w:pPr>
        <w:pStyle w:val="Bibliography"/>
      </w:pPr>
      <w:r>
        <w:t xml:space="preserve">European-Commission,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155"/>
    <w:bookmarkStart w:id="156"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56"/>
    <w:bookmarkStart w:id="157" w:name="ref-foden2007angiosperms"/>
    <w:p>
      <w:pPr>
        <w:pStyle w:val="Bibliography"/>
      </w:pPr>
      <w:r>
        <w:t xml:space="preserve">Foden, J., Brazier, D., 2007. Angiosperms (seagrass) within the EU water framework directive: A UK perspective. Marine Pollution Bulletin 55, 181–195.</w:t>
      </w:r>
    </w:p>
    <w:bookmarkEnd w:id="157"/>
    <w:bookmarkStart w:id="158" w:name="ref-fyfe2003spatial"/>
    <w:p>
      <w:pPr>
        <w:pStyle w:val="Bibliography"/>
      </w:pPr>
      <w:r>
        <w:t xml:space="preserve">Fyfe, S., 2003. Spatial and temporal variation in spectral reflectance: Are seagrass species spectrally distinct? Limnology and Oceanography 48, 464–479.</w:t>
      </w:r>
    </w:p>
    <w:bookmarkEnd w:id="158"/>
    <w:bookmarkStart w:id="159" w:name="ref-gardner2018"/>
    <w:p>
      <w:pPr>
        <w:pStyle w:val="Bibliography"/>
      </w:pPr>
      <w:r>
        <w:t xml:space="preserve">Gardner, R.C., Finlayson, C., 2018. Global wetland outlook: State of the world’s wetlands and their services to people. Stetson Law.</w:t>
      </w:r>
    </w:p>
    <w:bookmarkEnd w:id="159"/>
    <w:bookmarkStart w:id="160" w:name="ref-haro2023biointertidal"/>
    <w:p>
      <w:pPr>
        <w:pStyle w:val="Bibliography"/>
      </w:pPr>
      <w:r>
        <w:t xml:space="preserve">Haro, S., Jimenez-Reina, J., Bermejo, R., Morrison, L., 2023. BioIntertidal mapper software: A satellite approach for NDVI-based intertidal habitat mapping. SoftwareX 24, 101520.</w:t>
      </w:r>
    </w:p>
    <w:bookmarkEnd w:id="160"/>
    <w:bookmarkStart w:id="161" w:name="ref-hedley2018influence"/>
    <w:p>
      <w:pPr>
        <w:pStyle w:val="Bibliography"/>
      </w:pPr>
      <w:r>
        <w:t xml:space="preserve">Hedley, J.D., Mirhakak, M., Wentworth, A., Dierssen, H.M., 2018. Influence of three-dimensional coral structures on hyperspectral benthic reflectance and water-leaving reflectance. Applied Sciences 8, 2688.</w:t>
      </w:r>
    </w:p>
    <w:bookmarkEnd w:id="161"/>
    <w:bookmarkStart w:id="162"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162"/>
    <w:bookmarkStart w:id="163" w:name="ref-howard2018fastai"/>
    <w:p>
      <w:pPr>
        <w:pStyle w:val="Bibliography"/>
      </w:pPr>
      <w:r>
        <w:t xml:space="preserve">Howard, J., others, 2018. Fastai.</w:t>
      </w:r>
    </w:p>
    <w:bookmarkEnd w:id="163"/>
    <w:bookmarkStart w:id="164"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164"/>
    <w:bookmarkStart w:id="165" w:name="ref-joyce2023"/>
    <w:p>
      <w:pPr>
        <w:pStyle w:val="Bibliography"/>
      </w:pPr>
      <w:r>
        <w:t xml:space="preserve">Joyce, K.E., Fickas, K.C., Kalamandeen, M., 2023. The unique value proposition for using drones to map coastal ecosystems. Cambridge Prisms: Coastal Futures 1, e6.</w:t>
      </w:r>
    </w:p>
    <w:bookmarkEnd w:id="165"/>
    <w:bookmarkStart w:id="166" w:name="ref-kirk1994light"/>
    <w:p>
      <w:pPr>
        <w:pStyle w:val="Bibliography"/>
      </w:pPr>
      <w:r>
        <w:t xml:space="preserve">Kirk, J.T., 1994. Light and photosynthesis in aquatic ecosystems. Cambridge university press.</w:t>
      </w:r>
    </w:p>
    <w:bookmarkEnd w:id="166"/>
    <w:bookmarkStart w:id="167" w:name="ref-klemas2012remote"/>
    <w:p>
      <w:pPr>
        <w:pStyle w:val="Bibliography"/>
      </w:pPr>
      <w:r>
        <w:t xml:space="preserve">Klemas, V., 2012. Remote sensing of algal blooms: An overview with case studies. Journal of coastal research 28, 34–43.</w:t>
      </w:r>
    </w:p>
    <w:bookmarkEnd w:id="167"/>
    <w:bookmarkStart w:id="168"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168"/>
    <w:bookmarkStart w:id="169"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169"/>
    <w:bookmarkStart w:id="170" w:name="ref-deSantos2019"/>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170"/>
    <w:bookmarkStart w:id="171" w:name="ref-louime2017sargassum"/>
    <w:p>
      <w:pPr>
        <w:pStyle w:val="Bibliography"/>
      </w:pPr>
      <w:r>
        <w:t xml:space="preserve">Louime, C., Fortune, J., Gervais, G., 2017. Sargassum invasion of coastal environments: A growing concern. American Journal of Environmental Sciences 13, 58–64.</w:t>
      </w:r>
    </w:p>
    <w:bookmarkEnd w:id="171"/>
    <w:bookmarkStart w:id="172"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172"/>
    <w:bookmarkStart w:id="173"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173"/>
    <w:bookmarkStart w:id="175"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74">
        <w:r>
          <w:rPr>
            <w:rStyle w:val="Hyperlink"/>
          </w:rPr>
          <w:t xml:space="preserve">https://doi.org/10.1111/GCB.14108</w:t>
        </w:r>
      </w:hyperlink>
    </w:p>
    <w:bookmarkEnd w:id="175"/>
    <w:bookmarkStart w:id="176" w:name="ref-muller2018satellite"/>
    <w:p>
      <w:pPr>
        <w:pStyle w:val="Bibliography"/>
      </w:pPr>
      <w:r>
        <w:t xml:space="preserve">Muller-Karger, F.E., Hestir, E., Ade, C., Turpie, K., Roberts, D.A., Siegel, D., Miller, R.J., Humm, D., Izenberg, N., Keller, M., others, 2018. Satellite sensor requirements for monitoring essential biodiversity variables of coastal ecosystems. Ecological applications 28, 749–760.</w:t>
      </w:r>
    </w:p>
    <w:bookmarkEnd w:id="176"/>
    <w:bookmarkStart w:id="177"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177"/>
    <w:bookmarkStart w:id="178" w:name="ref-nguyen2021"/>
    <w:p>
      <w:pPr>
        <w:pStyle w:val="Bibliography"/>
      </w:pPr>
      <w:r>
        <w:t xml:space="preserve">Nguyen, H.M., Ralph, P.J., Marı́n-Guirao, L., Pernice, M., Procaccini, G., 2021. Seagrasses in an era of ocean warming: A review. Biological Reviews 96, 2009–2030.</w:t>
      </w:r>
    </w:p>
    <w:bookmarkEnd w:id="178"/>
    <w:bookmarkStart w:id="179"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179"/>
    <w:bookmarkStart w:id="180"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180"/>
    <w:bookmarkStart w:id="181" w:name="ref-oh2017use"/>
    <w:p>
      <w:pPr>
        <w:pStyle w:val="Bibliography"/>
      </w:pPr>
      <w:r>
        <w:t xml:space="preserve">Oh, J., Kim, D., Lee, H., 2017. Use of a drone for mapping and time series image acquisition of tidal zones. Journal of the Korean Institute of Intelligent Systems 27, 119–125.</w:t>
      </w:r>
    </w:p>
    <w:bookmarkEnd w:id="181"/>
    <w:bookmarkStart w:id="182" w:name="ref-oiry2021using"/>
    <w:p>
      <w:pPr>
        <w:pStyle w:val="Bibliography"/>
      </w:pPr>
      <w:r>
        <w:t xml:space="preserve">Oiry, S., Barillé, L., 2021. Using sentinel-2 satellite imagery to develop microphytobenthos-based water quality indices in estuaries. Ecological Indicators 121, 107184.</w:t>
      </w:r>
    </w:p>
    <w:bookmarkEnd w:id="182"/>
    <w:bookmarkStart w:id="183"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183"/>
    <w:bookmarkStart w:id="184"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184"/>
    <w:bookmarkStart w:id="185" w:name="ref-Pereira2013"/>
    <w:p>
      <w:pPr>
        <w:pStyle w:val="Bibliography"/>
      </w:pPr>
      <w:r>
        <w:t xml:space="preserve">Pereira, H.M., Ferrier, S., Walters, M., Geller, G.N., Jongman, R.H., Scholes, R.J., Bruford, M.W., Brummitt, N., Butchart, S.H., Cardoso, A., others, 2013. Essential biodiversity variables. Science 339, 277–278.</w:t>
      </w:r>
    </w:p>
    <w:bookmarkEnd w:id="185"/>
    <w:bookmarkStart w:id="186"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186"/>
    <w:bookmarkStart w:id="187"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187"/>
    <w:bookmarkStart w:id="188" w:name="ref-rasheed2011long"/>
    <w:p>
      <w:pPr>
        <w:pStyle w:val="Bibliography"/>
      </w:pPr>
      <w:r>
        <w:t xml:space="preserve">Rasheed, M.A., Unsworth, R.K., 2011. Long-term climate-associated dynamics of a tropical seagrass meadow: Implications for the future. Marine Ecology Progress Series 422, 93–103.</w:t>
      </w:r>
    </w:p>
    <w:bookmarkEnd w:id="188"/>
    <w:bookmarkStart w:id="189"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189"/>
    <w:bookmarkStart w:id="190"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190"/>
    <w:bookmarkStart w:id="192"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91">
        <w:r>
          <w:rPr>
            <w:rStyle w:val="Hyperlink"/>
          </w:rPr>
          <w:t xml:space="preserve">https://doi.org/10.3389/fmars.2022.1004012</w:t>
        </w:r>
      </w:hyperlink>
    </w:p>
    <w:bookmarkEnd w:id="192"/>
    <w:bookmarkStart w:id="193" w:name="ref-Roman2021"/>
    <w:p>
      <w:pPr>
        <w:pStyle w:val="Bibliography"/>
      </w:pPr>
      <w:r>
        <w:t xml:space="preserve">Román, A., Tovar-Sánchez, A., Olivé, I., Navarro, G., 2021. Using a UAV-mounted multispectral camera for the monitoring of marine macrophytes. Frontiers in Marine Science 1225.</w:t>
      </w:r>
    </w:p>
    <w:bookmarkEnd w:id="193"/>
    <w:bookmarkStart w:id="194" w:name="ref-rossiter2020uav"/>
    <w:p>
      <w:pPr>
        <w:pStyle w:val="Bibliography"/>
      </w:pPr>
      <w:r>
        <w:t xml:space="preserve">Rossiter, T., Furey, T., McCarthy, T., Stengel, D.B., 2020. UAV-mounted hyperspectral mapping of intertidal macroalgae. Estuarine, Coastal and Shelf Science 242, 106789.</w:t>
      </w:r>
    </w:p>
    <w:bookmarkEnd w:id="194"/>
    <w:bookmarkStart w:id="196"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195">
        <w:r>
          <w:rPr>
            <w:rStyle w:val="Hyperlink"/>
          </w:rPr>
          <w:t xml:space="preserve">https://doi.org/10.1016/j.ecoser.2022.101414</w:t>
        </w:r>
      </w:hyperlink>
    </w:p>
    <w:bookmarkEnd w:id="196"/>
    <w:bookmarkStart w:id="197" w:name="ref-schneider2012nih"/>
    <w:p>
      <w:pPr>
        <w:pStyle w:val="Bibliography"/>
      </w:pPr>
      <w:r>
        <w:t xml:space="preserve">Schneider, C.A., Rasband, W.S., Eliceiri, K.W., 2012. NIH image to ImageJ: 25 years of image analysis. Nature methods 9, 671–675.</w:t>
      </w:r>
    </w:p>
    <w:bookmarkEnd w:id="197"/>
    <w:bookmarkStart w:id="199" w:name="ref-rs13081408"/>
    <w:p>
      <w:pPr>
        <w:pStyle w:val="Bibliography"/>
      </w:pPr>
      <w:r>
        <w:t xml:space="preserve">Schreyers, L., Emmerik, T. van, Biermann, L., Le Lay, Y.-F., 2021. Spotting green tides over brittany from space: Three decades of monitoring with landsat imagery. Remote Sensing 13.</w:t>
      </w:r>
      <w:r>
        <w:t xml:space="preserve"> </w:t>
      </w:r>
      <w:hyperlink r:id="rId198">
        <w:r>
          <w:rPr>
            <w:rStyle w:val="Hyperlink"/>
          </w:rPr>
          <w:t xml:space="preserve">https://doi.org/10.3390/rs13081408</w:t>
        </w:r>
      </w:hyperlink>
    </w:p>
    <w:bookmarkEnd w:id="199"/>
    <w:bookmarkStart w:id="201" w:name="ref-Slaton2001"/>
    <w:p>
      <w:pPr>
        <w:pStyle w:val="Bibliography"/>
      </w:pPr>
      <w:r>
        <w:t xml:space="preserve">Slaton, M.R., Raymond Hunt Jr., E., Smith, W.K., 2001. Estimating near-infrared leaf reflectance from leaf structural characteristics. American Journal of Botany 88, 278–284. https://doi.org/</w:t>
      </w:r>
      <w:hyperlink r:id="rId200">
        <w:r>
          <w:rPr>
            <w:rStyle w:val="Hyperlink"/>
          </w:rPr>
          <w:t xml:space="preserve">https://doi.org/10.2307/2657019</w:t>
        </w:r>
      </w:hyperlink>
    </w:p>
    <w:bookmarkEnd w:id="201"/>
    <w:bookmarkStart w:id="202"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202"/>
    <w:bookmarkStart w:id="203"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203"/>
    <w:bookmarkStart w:id="204"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204"/>
    <w:bookmarkStart w:id="205"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205"/>
    <w:bookmarkStart w:id="206"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206"/>
    <w:bookmarkStart w:id="208" w:name="ref-Traganos2018"/>
    <w:p>
      <w:pPr>
        <w:pStyle w:val="Bibliography"/>
      </w:pPr>
      <w:r>
        <w:t xml:space="preserve">Traganos, D., Reinartz, P., 2018. Mapping mediterranean seagrasses with sentinel-2 imagery. Marine Pollution Bulletin 134, 197–209.</w:t>
      </w:r>
      <w:r>
        <w:t xml:space="preserve"> </w:t>
      </w:r>
      <w:hyperlink r:id="rId207">
        <w:r>
          <w:rPr>
            <w:rStyle w:val="Hyperlink"/>
          </w:rPr>
          <w:t xml:space="preserve">https://doi.org/10.1016/j.marpolbul.2017.06.075</w:t>
        </w:r>
      </w:hyperlink>
    </w:p>
    <w:bookmarkEnd w:id="208"/>
    <w:bookmarkStart w:id="209"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209"/>
    <w:bookmarkStart w:id="210" w:name="ref-unsworth2022"/>
    <w:p>
      <w:pPr>
        <w:pStyle w:val="Bibliography"/>
      </w:pPr>
      <w:r>
        <w:t xml:space="preserve">Unsworth, R.K., Cullen-Unsworth, L.C., Jones, B.L., Lilley, R.J., 2022. The planetary role of seagrass conservation. Science 377, 609–613.</w:t>
      </w:r>
    </w:p>
    <w:bookmarkEnd w:id="210"/>
    <w:bookmarkStart w:id="211" w:name="ref-veettil2020opportunities"/>
    <w:p>
      <w:pPr>
        <w:pStyle w:val="Bibliography"/>
      </w:pPr>
      <w:r>
        <w:t xml:space="preserve">Veettil, B.K., Ward, R.D., Lima, M.D.A.C., Stankovic, M., Hoai, P.N., Quang, N.X., 2020. Opportunities for seagrass research derived from remote sensing: A review of current methods. Ecological Indicators 117, 106560.</w:t>
      </w:r>
    </w:p>
    <w:bookmarkEnd w:id="211"/>
    <w:bookmarkStart w:id="212"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212"/>
    <w:bookmarkStart w:id="213"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213"/>
    <w:bookmarkStart w:id="214" w:name="ref-wang2022"/>
    <w:p>
      <w:pPr>
        <w:pStyle w:val="Bibliography"/>
      </w:pPr>
      <w:r>
        <w:t xml:space="preserve">Wang, Z., Fang, Z., Liang, J., Song, X., 2022. Assessment of global habitat suitability and risk of ocean green tides. Harmful Algae 119, 102324.</w:t>
      </w:r>
    </w:p>
    <w:bookmarkEnd w:id="214"/>
    <w:bookmarkStart w:id="216" w:name="ref-WEI2015399"/>
    <w:p>
      <w:pPr>
        <w:pStyle w:val="Bibliography"/>
      </w:pPr>
      <w:r>
        <w:t xml:space="preserve">Wei, P., Lu, Z., Song, J., 2015. Variable importance analysis: A comprehensive review. Reliability Engineering and System Safety 142, 399–432. https://doi.org/</w:t>
      </w:r>
      <w:hyperlink r:id="rId215">
        <w:r>
          <w:rPr>
            <w:rStyle w:val="Hyperlink"/>
          </w:rPr>
          <w:t xml:space="preserve">https://doi.org/10.1016/j.ress.2015.05.018</w:t>
        </w:r>
      </w:hyperlink>
    </w:p>
    <w:bookmarkEnd w:id="216"/>
    <w:bookmarkStart w:id="217"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217"/>
    <w:bookmarkStart w:id="218"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218"/>
    <w:bookmarkStart w:id="220" w:name="ref-Zoffoli2021"/>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219">
        <w:r>
          <w:rPr>
            <w:rStyle w:val="Hyperlink"/>
          </w:rPr>
          <w:t xml:space="preserve">https://doi.org/10.1016/j.ecolind.2021.108033</w:t>
        </w:r>
      </w:hyperlink>
    </w:p>
    <w:bookmarkEnd w:id="220"/>
    <w:bookmarkStart w:id="222"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221">
        <w:r>
          <w:rPr>
            <w:rStyle w:val="Hyperlink"/>
          </w:rPr>
          <w:t xml:space="preserve">https://doi.org/10.1002/rse2.319</w:t>
        </w:r>
      </w:hyperlink>
    </w:p>
    <w:bookmarkEnd w:id="222"/>
    <w:bookmarkStart w:id="224" w:name="ref-ZOFFOLI2020112020"/>
    <w:p>
      <w:pPr>
        <w:pStyle w:val="Bibliography"/>
      </w:pPr>
      <w:r>
        <w:t xml:space="preserve">Zoffoli, M.L., Gernez, P., Rosa, P., Le Bris, A., Brando, V.E., Barillé, A.-L., Harin, N., Peters, S., Poser, K., Spaias, L., Peralta, G., Barillé, L., 2020. Sentinel-2 remote sensing of zostera noltei-dominated intertidal seagrass meadows. Remote Sensing of Environment 251, 112020. https://doi.org/</w:t>
      </w:r>
      <w:hyperlink r:id="rId223">
        <w:r>
          <w:rPr>
            <w:rStyle w:val="Hyperlink"/>
          </w:rPr>
          <w:t xml:space="preserve">https://doi.org/10.1016/j.rse.2020.112020</w:t>
        </w:r>
      </w:hyperlink>
    </w:p>
    <w:bookmarkEnd w:id="224"/>
    <w:bookmarkEnd w:id="225"/>
    <w:bookmarkEnd w:id="2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0" Target="media/rId60.png" /><Relationship Type="http://schemas.openxmlformats.org/officeDocument/2006/relationships/image" Id="rId112" Target="media/rId112.png" /><Relationship Type="http://schemas.openxmlformats.org/officeDocument/2006/relationships/image" Id="rId21" Target="media/rId21.png" /><Relationship Type="http://schemas.openxmlformats.org/officeDocument/2006/relationships/image" Id="rId40" Target="media/rId40.png" /><Relationship Type="http://schemas.openxmlformats.org/officeDocument/2006/relationships/image" Id="rId76" Target="media/rId76.png" /><Relationship Type="http://schemas.openxmlformats.org/officeDocument/2006/relationships/image" Id="rId81" Target="media/rId81.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87" Target="media/rId87.png" /><Relationship Type="http://schemas.openxmlformats.org/officeDocument/2006/relationships/image" Id="rId117" Target="media/rId117.png" /><Relationship Type="http://schemas.openxmlformats.org/officeDocument/2006/relationships/image" Id="rId27" Target="media/rId27.png" /><Relationship Type="http://schemas.openxmlformats.org/officeDocument/2006/relationships/image" Id="rId99" Target="media/rId99.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image" Id="rId105" Target="media/rId105.png" /><Relationship Type="http://schemas.openxmlformats.org/officeDocument/2006/relationships/image" Id="rId93" Target="media/rId93.png" /><Relationship Type="http://schemas.openxmlformats.org/officeDocument/2006/relationships/hyperlink" Id="rId221" Target="https://doi.org/10.1002/rse2.319" TargetMode="External" /><Relationship Type="http://schemas.openxmlformats.org/officeDocument/2006/relationships/hyperlink" Id="rId143" Target="https://doi.org/10.1016/j.ecolind.2020.107018" TargetMode="External" /><Relationship Type="http://schemas.openxmlformats.org/officeDocument/2006/relationships/hyperlink" Id="rId219" Target="https://doi.org/10.1016/j.ecolind.2021.108033" TargetMode="External" /><Relationship Type="http://schemas.openxmlformats.org/officeDocument/2006/relationships/hyperlink" Id="rId195" Target="https://doi.org/10.1016/j.ecoser.2022.101414" TargetMode="External" /><Relationship Type="http://schemas.openxmlformats.org/officeDocument/2006/relationships/hyperlink" Id="rId207" Target="https://doi.org/10.1016/j.marpolbul.2017.06.075" TargetMode="External" /><Relationship Type="http://schemas.openxmlformats.org/officeDocument/2006/relationships/hyperlink" Id="rId215" Target="https://doi.org/10.1016/j.ress.2015.05.018" TargetMode="External" /><Relationship Type="http://schemas.openxmlformats.org/officeDocument/2006/relationships/hyperlink" Id="rId223" Target="https://doi.org/10.1016/j.rse.2020.112020" TargetMode="External" /><Relationship Type="http://schemas.openxmlformats.org/officeDocument/2006/relationships/hyperlink" Id="rId145" Target="https://doi.org/10.1016/j.rse.2023.113554" TargetMode="External" /><Relationship Type="http://schemas.openxmlformats.org/officeDocument/2006/relationships/hyperlink" Id="rId174" Target="https://doi.org/10.1111/GCB.14108" TargetMode="External" /><Relationship Type="http://schemas.openxmlformats.org/officeDocument/2006/relationships/hyperlink" Id="rId136" Target="https://doi.org/10.1139/cjfas-2016-0137" TargetMode="External" /><Relationship Type="http://schemas.openxmlformats.org/officeDocument/2006/relationships/hyperlink" Id="rId149" Target="https://doi.org/10.15468/n4ak6x" TargetMode="External" /><Relationship Type="http://schemas.openxmlformats.org/officeDocument/2006/relationships/hyperlink" Id="rId200" Target="https://doi.org/10.2307/2657019" TargetMode="External" /><Relationship Type="http://schemas.openxmlformats.org/officeDocument/2006/relationships/hyperlink" Id="rId191" Target="https://doi.org/10.3389/fmars.2022.1004012" TargetMode="External" /><Relationship Type="http://schemas.openxmlformats.org/officeDocument/2006/relationships/hyperlink" Id="rId134" Target="https://doi.org/10.3390/RS14020307" TargetMode="External" /><Relationship Type="http://schemas.openxmlformats.org/officeDocument/2006/relationships/hyperlink" Id="rId198" Target="https://doi.org/10.3390/rs13081408" TargetMode="External" /><Relationship Type="http://schemas.openxmlformats.org/officeDocument/2006/relationships/hyperlink" Id="rId152" Target="https://doi.org/10.3390/rs14020346" TargetMode="External" /><Relationship Type="http://schemas.openxmlformats.org/officeDocument/2006/relationships/hyperlink" Id="rId128" Target="https://www.agisoft.com/" TargetMode="External" /></Relationships>
</file>

<file path=word/_rels/footnotes.xml.rels><?xml version="1.0" encoding="UTF-8"?><Relationships xmlns="http://schemas.openxmlformats.org/package/2006/relationships"><Relationship Type="http://schemas.openxmlformats.org/officeDocument/2006/relationships/hyperlink" Id="rId221" Target="https://doi.org/10.1002/rse2.319" TargetMode="External" /><Relationship Type="http://schemas.openxmlformats.org/officeDocument/2006/relationships/hyperlink" Id="rId143" Target="https://doi.org/10.1016/j.ecolind.2020.107018" TargetMode="External" /><Relationship Type="http://schemas.openxmlformats.org/officeDocument/2006/relationships/hyperlink" Id="rId219" Target="https://doi.org/10.1016/j.ecolind.2021.108033" TargetMode="External" /><Relationship Type="http://schemas.openxmlformats.org/officeDocument/2006/relationships/hyperlink" Id="rId195" Target="https://doi.org/10.1016/j.ecoser.2022.101414" TargetMode="External" /><Relationship Type="http://schemas.openxmlformats.org/officeDocument/2006/relationships/hyperlink" Id="rId207" Target="https://doi.org/10.1016/j.marpolbul.2017.06.075" TargetMode="External" /><Relationship Type="http://schemas.openxmlformats.org/officeDocument/2006/relationships/hyperlink" Id="rId215" Target="https://doi.org/10.1016/j.ress.2015.05.018" TargetMode="External" /><Relationship Type="http://schemas.openxmlformats.org/officeDocument/2006/relationships/hyperlink" Id="rId223" Target="https://doi.org/10.1016/j.rse.2020.112020" TargetMode="External" /><Relationship Type="http://schemas.openxmlformats.org/officeDocument/2006/relationships/hyperlink" Id="rId145" Target="https://doi.org/10.1016/j.rse.2023.113554" TargetMode="External" /><Relationship Type="http://schemas.openxmlformats.org/officeDocument/2006/relationships/hyperlink" Id="rId174" Target="https://doi.org/10.1111/GCB.14108" TargetMode="External" /><Relationship Type="http://schemas.openxmlformats.org/officeDocument/2006/relationships/hyperlink" Id="rId136" Target="https://doi.org/10.1139/cjfas-2016-0137" TargetMode="External" /><Relationship Type="http://schemas.openxmlformats.org/officeDocument/2006/relationships/hyperlink" Id="rId149" Target="https://doi.org/10.15468/n4ak6x" TargetMode="External" /><Relationship Type="http://schemas.openxmlformats.org/officeDocument/2006/relationships/hyperlink" Id="rId200" Target="https://doi.org/10.2307/2657019" TargetMode="External" /><Relationship Type="http://schemas.openxmlformats.org/officeDocument/2006/relationships/hyperlink" Id="rId191" Target="https://doi.org/10.3389/fmars.2022.1004012" TargetMode="External" /><Relationship Type="http://schemas.openxmlformats.org/officeDocument/2006/relationships/hyperlink" Id="rId134" Target="https://doi.org/10.3390/RS14020307" TargetMode="External" /><Relationship Type="http://schemas.openxmlformats.org/officeDocument/2006/relationships/hyperlink" Id="rId198" Target="https://doi.org/10.3390/rs13081408" TargetMode="External" /><Relationship Type="http://schemas.openxmlformats.org/officeDocument/2006/relationships/hyperlink" Id="rId152" Target="https://doi.org/10.3390/rs14020346" TargetMode="External" /><Relationship Type="http://schemas.openxmlformats.org/officeDocument/2006/relationships/hyperlink" Id="rId128" Target="https://www.agisoft.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 Discriminating Seagrasses From Green Macroalgae in European Intertidal areas using high resolution multispectral drone imagery – Draft</dc:title>
  <dc:creator>Simon Oiry; Bede Ffinian Rowe Davies; Ana I. Sousa; Philippe Rosa; Maria Laura Zoffoli; Guillaume Brunier; Pierre Gernez; Laurent Barillé</dc:creator>
  <cp:keywords>Drone, Remote Sensing, Seagrass, Coastal Ecosystems, Neural Network</cp:keywords>
  <dcterms:created xsi:type="dcterms:W3CDTF">2024-09-27T14:56:03Z</dcterms:created>
  <dcterms:modified xsi:type="dcterms:W3CDTF">2024-09-27T14:56:03Z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struggles with spatial and spectral resolution, making it difficult to discriminate seagrass from other macrophytes in highly heterogenous meadows. Drone (unmanned aerial vehicles – UAV) images at a very high spatial resolution offer a promising solution to address challenges related to spatial heterogeneity and intrapixel mixture. This study focuses on using drone acquisitions with a ten spectral band sensor mirroring those of Sentinel-2, for mapping intertidal macrophytes and effectively discriminating between seagrass and green macroalgae. Nine drone flights were conducted at two different altitudes (12 m and 120 m) across heterogeneous intertidal European habitats in France and Portugal. Low altitude flights were used to train a Deep Learning classifier based on Neural Networks to discrimintate among five taxonomic classes of intertidal vegetation: Magnoliopsida (Seagrass), Chlorophyceae (Green macroalgae), Phaeophyceae (Brown algae), Rhodophyceae (Red macroalgae) and benthic Bacillariophyceae (Diatoms). Classification of drone imagery resulted in an overall accuracy of 94% across all the sites and images, covering a total area of 467 000 m². The model exhibited an accuracy of 96.4% in identifying seagrass. Importantly, seagrass and green algae can be discriminated, although they share the same pigment composition. As the algorithm was developed for a multispectral camera with ten spectral bands in the visible and near-infrared, it could be adapted to the Multi-Spectral Instrument (MSI) onboard Sentinel-2 thus offering promising perspectives for satellite remote sensing of intertidal biodiversity over lager scales.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2024-09-27</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